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D4" w:rsidRDefault="00EB3A07" w:rsidP="00EB3A07">
      <w:pPr>
        <w:spacing w:after="0" w:line="360" w:lineRule="auto"/>
        <w:jc w:val="both"/>
        <w:rPr>
          <w:rFonts w:ascii="Palatino Linotype" w:hAnsi="Palatino Linotype" w:cs="Arial"/>
          <w:b/>
          <w:sz w:val="24"/>
          <w:szCs w:val="24"/>
        </w:rPr>
      </w:pPr>
      <w:r w:rsidRPr="00D33AF9">
        <w:rPr>
          <w:rFonts w:ascii="Palatino Linotype" w:hAnsi="Palatino Linotype" w:cs="Arial"/>
          <w:b/>
          <w:sz w:val="24"/>
          <w:szCs w:val="24"/>
        </w:rPr>
        <w:t xml:space="preserve">VOTO </w:t>
      </w:r>
      <w:r w:rsidR="00195AD4">
        <w:rPr>
          <w:rFonts w:ascii="Palatino Linotype" w:hAnsi="Palatino Linotype" w:cs="Arial"/>
          <w:b/>
          <w:sz w:val="24"/>
          <w:szCs w:val="24"/>
        </w:rPr>
        <w:t xml:space="preserve">PARTICULAR CONCURRENTE </w:t>
      </w:r>
      <w:r w:rsidR="0067486B">
        <w:rPr>
          <w:rFonts w:ascii="Palatino Linotype" w:hAnsi="Palatino Linotype" w:cs="Arial"/>
          <w:b/>
          <w:sz w:val="24"/>
          <w:szCs w:val="24"/>
        </w:rPr>
        <w:t xml:space="preserve">QUE FORMULAN </w:t>
      </w:r>
      <w:r w:rsidR="00195AD4">
        <w:rPr>
          <w:rFonts w:ascii="Palatino Linotype" w:hAnsi="Palatino Linotype" w:cs="Arial"/>
          <w:b/>
          <w:sz w:val="24"/>
          <w:szCs w:val="24"/>
        </w:rPr>
        <w:t xml:space="preserve">LA COMISIONADA EVA ABAID YAPUR Y LOS COMISIONADOS </w:t>
      </w:r>
      <w:r>
        <w:rPr>
          <w:rFonts w:ascii="Palatino Linotype" w:hAnsi="Palatino Linotype" w:cs="Arial"/>
          <w:b/>
          <w:sz w:val="24"/>
          <w:szCs w:val="24"/>
        </w:rPr>
        <w:t xml:space="preserve">LUIS GUSTAVO PARRA NORIEGA Y </w:t>
      </w:r>
      <w:r w:rsidRPr="00D33AF9">
        <w:rPr>
          <w:rFonts w:ascii="Palatino Linotype" w:hAnsi="Palatino Linotype" w:cs="Arial"/>
          <w:b/>
          <w:sz w:val="24"/>
          <w:szCs w:val="24"/>
        </w:rPr>
        <w:t>JOSÉ GUADA</w:t>
      </w:r>
      <w:r>
        <w:rPr>
          <w:rFonts w:ascii="Palatino Linotype" w:hAnsi="Palatino Linotype" w:cs="Arial"/>
          <w:b/>
          <w:sz w:val="24"/>
          <w:szCs w:val="24"/>
        </w:rPr>
        <w:t>LUPE LUNA HERNÁNDEZ</w:t>
      </w:r>
      <w:r w:rsidR="00195AD4">
        <w:rPr>
          <w:rFonts w:ascii="Palatino Linotype" w:hAnsi="Palatino Linotype" w:cs="Arial"/>
          <w:b/>
          <w:sz w:val="24"/>
          <w:szCs w:val="24"/>
        </w:rPr>
        <w:t xml:space="preserve"> EN EL RECURSO DE REVISIÓN 03374</w:t>
      </w:r>
      <w:r>
        <w:rPr>
          <w:rFonts w:ascii="Palatino Linotype" w:hAnsi="Palatino Linotype" w:cs="Arial"/>
          <w:b/>
          <w:sz w:val="24"/>
          <w:szCs w:val="24"/>
        </w:rPr>
        <w:t>/INFOEM/IP/RR/2018.</w:t>
      </w:r>
    </w:p>
    <w:p w:rsidR="00195AD4" w:rsidRDefault="00195AD4" w:rsidP="00EB3A07">
      <w:pPr>
        <w:spacing w:after="0" w:line="360" w:lineRule="auto"/>
        <w:jc w:val="both"/>
        <w:rPr>
          <w:rFonts w:ascii="Palatino Linotype" w:hAnsi="Palatino Linotype" w:cs="Arial"/>
          <w:sz w:val="24"/>
          <w:szCs w:val="24"/>
        </w:rPr>
      </w:pPr>
    </w:p>
    <w:p w:rsidR="00EE6E10" w:rsidRDefault="00EB3A07" w:rsidP="00EB3A07">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Resumen del voto: </w:t>
      </w:r>
      <w:r w:rsidRPr="00A6495C">
        <w:rPr>
          <w:rFonts w:ascii="Palatino Linotype" w:hAnsi="Palatino Linotype" w:cs="Arial"/>
          <w:sz w:val="24"/>
          <w:szCs w:val="24"/>
        </w:rPr>
        <w:t xml:space="preserve">Se presenta el voto particular </w:t>
      </w:r>
      <w:r w:rsidR="00A6495C" w:rsidRPr="00A6495C">
        <w:rPr>
          <w:rFonts w:ascii="Palatino Linotype" w:hAnsi="Palatino Linotype" w:cs="Arial"/>
          <w:sz w:val="24"/>
          <w:szCs w:val="24"/>
        </w:rPr>
        <w:t xml:space="preserve">concurrente </w:t>
      </w:r>
      <w:r w:rsidRPr="00A6495C">
        <w:rPr>
          <w:rFonts w:ascii="Palatino Linotype" w:hAnsi="Palatino Linotype" w:cs="Arial"/>
          <w:sz w:val="24"/>
          <w:szCs w:val="24"/>
        </w:rPr>
        <w:t xml:space="preserve">en razón de que </w:t>
      </w:r>
      <w:r w:rsidR="00A6495C" w:rsidRPr="00A6495C">
        <w:rPr>
          <w:rFonts w:ascii="Palatino Linotype" w:hAnsi="Palatino Linotype" w:cs="Arial"/>
          <w:sz w:val="24"/>
          <w:szCs w:val="24"/>
        </w:rPr>
        <w:t>se considera que</w:t>
      </w:r>
      <w:r w:rsidR="00EE6E10">
        <w:rPr>
          <w:rFonts w:ascii="Palatino Linotype" w:hAnsi="Palatino Linotype" w:cs="Arial"/>
          <w:sz w:val="24"/>
          <w:szCs w:val="24"/>
        </w:rPr>
        <w:t xml:space="preserve"> el informe justificado emitido por el Sujeto Obligado debió ser pu</w:t>
      </w:r>
      <w:r w:rsidR="0067486B">
        <w:rPr>
          <w:rFonts w:ascii="Palatino Linotype" w:hAnsi="Palatino Linotype" w:cs="Arial"/>
          <w:sz w:val="24"/>
          <w:szCs w:val="24"/>
        </w:rPr>
        <w:t xml:space="preserve">esto a la vista del particular, ya que el mismo colmaba el derecho de acceso a la información accionado por el particular. </w:t>
      </w:r>
    </w:p>
    <w:p w:rsidR="00AA7B9B" w:rsidRPr="00AA7B9B" w:rsidRDefault="00AA7B9B" w:rsidP="00EB3A07">
      <w:pPr>
        <w:spacing w:after="0" w:line="360" w:lineRule="auto"/>
        <w:jc w:val="both"/>
        <w:rPr>
          <w:rFonts w:ascii="Palatino Linotype" w:hAnsi="Palatino Linotype" w:cs="Arial"/>
          <w:sz w:val="24"/>
          <w:szCs w:val="24"/>
        </w:rPr>
      </w:pPr>
    </w:p>
    <w:p w:rsidR="00EB3A07" w:rsidRPr="00D33AF9" w:rsidRDefault="00EB3A07" w:rsidP="00EB3A07">
      <w:pPr>
        <w:spacing w:after="0" w:line="360" w:lineRule="auto"/>
        <w:jc w:val="both"/>
        <w:rPr>
          <w:rFonts w:ascii="Palatino Linotype" w:hAnsi="Palatino Linotype" w:cs="Arial"/>
          <w:sz w:val="24"/>
          <w:szCs w:val="24"/>
        </w:rPr>
      </w:pPr>
      <w:r w:rsidRPr="00D33AF9">
        <w:rPr>
          <w:rFonts w:ascii="Palatino Linotype" w:hAnsi="Palatino Linotype" w:cs="Arial"/>
          <w:b/>
          <w:sz w:val="24"/>
          <w:szCs w:val="24"/>
        </w:rPr>
        <w:t>Índice</w:t>
      </w:r>
    </w:p>
    <w:sdt>
      <w:sdtPr>
        <w:rPr>
          <w:rFonts w:asciiTheme="minorHAnsi" w:eastAsiaTheme="minorHAnsi" w:hAnsiTheme="minorHAnsi" w:cstheme="minorBidi"/>
          <w:color w:val="auto"/>
          <w:sz w:val="22"/>
          <w:szCs w:val="22"/>
          <w:lang w:val="es-ES" w:eastAsia="en-US"/>
        </w:rPr>
        <w:id w:val="-1899583050"/>
        <w:docPartObj>
          <w:docPartGallery w:val="Table of Contents"/>
          <w:docPartUnique/>
        </w:docPartObj>
      </w:sdtPr>
      <w:sdtEndPr>
        <w:rPr>
          <w:b/>
          <w:bCs/>
        </w:rPr>
      </w:sdtEndPr>
      <w:sdtContent>
        <w:p w:rsidR="00EB3A07" w:rsidRPr="00D33AF9" w:rsidRDefault="00EB3A07" w:rsidP="00EB3A07">
          <w:pPr>
            <w:pStyle w:val="TtulodeTDC"/>
          </w:pPr>
        </w:p>
        <w:p w:rsidR="00EE6E10" w:rsidRDefault="00EB3A07">
          <w:pPr>
            <w:pStyle w:val="TDC1"/>
            <w:rPr>
              <w:rFonts w:eastAsiaTheme="minorEastAsia"/>
              <w:noProof/>
              <w:lang w:eastAsia="es-MX"/>
            </w:rPr>
          </w:pPr>
          <w:r w:rsidRPr="00D33AF9">
            <w:fldChar w:fldCharType="begin"/>
          </w:r>
          <w:r w:rsidRPr="00D33AF9">
            <w:instrText xml:space="preserve"> TOC \o "1-3" \h \z \u </w:instrText>
          </w:r>
          <w:r w:rsidRPr="00D33AF9">
            <w:fldChar w:fldCharType="separate"/>
          </w:r>
          <w:hyperlink w:anchor="_Toc527984223" w:history="1">
            <w:r w:rsidR="00EE6E10" w:rsidRPr="00E347AA">
              <w:rPr>
                <w:rStyle w:val="Hipervnculo"/>
                <w:rFonts w:ascii="Palatino Linotype" w:hAnsi="Palatino Linotype"/>
                <w:b/>
                <w:noProof/>
              </w:rPr>
              <w:t>I.</w:t>
            </w:r>
            <w:r w:rsidR="00EE6E10">
              <w:rPr>
                <w:rFonts w:eastAsiaTheme="minorEastAsia"/>
                <w:noProof/>
                <w:lang w:eastAsia="es-MX"/>
              </w:rPr>
              <w:tab/>
            </w:r>
            <w:r w:rsidR="00EE6E10" w:rsidRPr="00E347AA">
              <w:rPr>
                <w:rStyle w:val="Hipervnculo"/>
                <w:rFonts w:ascii="Palatino Linotype" w:hAnsi="Palatino Linotype"/>
                <w:b/>
                <w:noProof/>
              </w:rPr>
              <w:t>Consideraciones Generales.</w:t>
            </w:r>
            <w:r w:rsidR="00EE6E10">
              <w:rPr>
                <w:noProof/>
                <w:webHidden/>
              </w:rPr>
              <w:tab/>
            </w:r>
            <w:r w:rsidR="00EE6E10">
              <w:rPr>
                <w:noProof/>
                <w:webHidden/>
              </w:rPr>
              <w:fldChar w:fldCharType="begin"/>
            </w:r>
            <w:r w:rsidR="00EE6E10">
              <w:rPr>
                <w:noProof/>
                <w:webHidden/>
              </w:rPr>
              <w:instrText xml:space="preserve"> PAGEREF _Toc527984223 \h </w:instrText>
            </w:r>
            <w:r w:rsidR="00EE6E10">
              <w:rPr>
                <w:noProof/>
                <w:webHidden/>
              </w:rPr>
            </w:r>
            <w:r w:rsidR="00EE6E10">
              <w:rPr>
                <w:noProof/>
                <w:webHidden/>
              </w:rPr>
              <w:fldChar w:fldCharType="separate"/>
            </w:r>
            <w:r w:rsidR="00482898">
              <w:rPr>
                <w:noProof/>
                <w:webHidden/>
              </w:rPr>
              <w:t>1</w:t>
            </w:r>
            <w:r w:rsidR="00EE6E10">
              <w:rPr>
                <w:noProof/>
                <w:webHidden/>
              </w:rPr>
              <w:fldChar w:fldCharType="end"/>
            </w:r>
          </w:hyperlink>
        </w:p>
        <w:p w:rsidR="00EE6E10" w:rsidRDefault="008B3C12">
          <w:pPr>
            <w:pStyle w:val="TDC1"/>
            <w:rPr>
              <w:rFonts w:eastAsiaTheme="minorEastAsia"/>
              <w:noProof/>
              <w:lang w:eastAsia="es-MX"/>
            </w:rPr>
          </w:pPr>
          <w:hyperlink w:anchor="_Toc527984224" w:history="1">
            <w:r w:rsidR="00EE6E10" w:rsidRPr="00E347AA">
              <w:rPr>
                <w:rStyle w:val="Hipervnculo"/>
                <w:rFonts w:ascii="Palatino Linotype" w:hAnsi="Palatino Linotype"/>
                <w:b/>
                <w:noProof/>
              </w:rPr>
              <w:t>II.</w:t>
            </w:r>
            <w:r w:rsidR="00EE6E10">
              <w:rPr>
                <w:rFonts w:eastAsiaTheme="minorEastAsia"/>
                <w:noProof/>
                <w:lang w:eastAsia="es-MX"/>
              </w:rPr>
              <w:tab/>
            </w:r>
            <w:r w:rsidR="00EE6E10" w:rsidRPr="00E347AA">
              <w:rPr>
                <w:rStyle w:val="Hipervnculo"/>
                <w:rFonts w:ascii="Palatino Linotype" w:hAnsi="Palatino Linotype"/>
                <w:b/>
                <w:noProof/>
              </w:rPr>
              <w:t>De los requerimientos.</w:t>
            </w:r>
            <w:r w:rsidR="00EE6E10">
              <w:rPr>
                <w:noProof/>
                <w:webHidden/>
              </w:rPr>
              <w:tab/>
            </w:r>
            <w:r w:rsidR="00EE6E10">
              <w:rPr>
                <w:noProof/>
                <w:webHidden/>
              </w:rPr>
              <w:fldChar w:fldCharType="begin"/>
            </w:r>
            <w:r w:rsidR="00EE6E10">
              <w:rPr>
                <w:noProof/>
                <w:webHidden/>
              </w:rPr>
              <w:instrText xml:space="preserve"> PAGEREF _Toc527984224 \h </w:instrText>
            </w:r>
            <w:r w:rsidR="00EE6E10">
              <w:rPr>
                <w:noProof/>
                <w:webHidden/>
              </w:rPr>
            </w:r>
            <w:r w:rsidR="00EE6E10">
              <w:rPr>
                <w:noProof/>
                <w:webHidden/>
              </w:rPr>
              <w:fldChar w:fldCharType="separate"/>
            </w:r>
            <w:r w:rsidR="00482898">
              <w:rPr>
                <w:noProof/>
                <w:webHidden/>
              </w:rPr>
              <w:t>3</w:t>
            </w:r>
            <w:r w:rsidR="00EE6E10">
              <w:rPr>
                <w:noProof/>
                <w:webHidden/>
              </w:rPr>
              <w:fldChar w:fldCharType="end"/>
            </w:r>
          </w:hyperlink>
        </w:p>
        <w:p w:rsidR="00EE6E10" w:rsidRDefault="008B3C12">
          <w:pPr>
            <w:pStyle w:val="TDC1"/>
            <w:rPr>
              <w:rFonts w:eastAsiaTheme="minorEastAsia"/>
              <w:noProof/>
              <w:lang w:eastAsia="es-MX"/>
            </w:rPr>
          </w:pPr>
          <w:hyperlink w:anchor="_Toc527984225" w:history="1">
            <w:r w:rsidR="00EE6E10" w:rsidRPr="00E347AA">
              <w:rPr>
                <w:rStyle w:val="Hipervnculo"/>
                <w:rFonts w:ascii="Palatino Linotype" w:hAnsi="Palatino Linotype"/>
                <w:b/>
                <w:noProof/>
              </w:rPr>
              <w:t>III.</w:t>
            </w:r>
            <w:r w:rsidR="00EE6E10">
              <w:rPr>
                <w:rFonts w:eastAsiaTheme="minorEastAsia"/>
                <w:noProof/>
                <w:lang w:eastAsia="es-MX"/>
              </w:rPr>
              <w:tab/>
            </w:r>
            <w:r w:rsidR="00EE6E10" w:rsidRPr="00E347AA">
              <w:rPr>
                <w:rStyle w:val="Hipervnculo"/>
                <w:rFonts w:ascii="Palatino Linotype" w:hAnsi="Palatino Linotype"/>
                <w:b/>
                <w:noProof/>
              </w:rPr>
              <w:t>Del estudio del asunto.</w:t>
            </w:r>
            <w:r w:rsidR="00EE6E10">
              <w:rPr>
                <w:noProof/>
                <w:webHidden/>
              </w:rPr>
              <w:tab/>
            </w:r>
            <w:r w:rsidR="00EE6E10">
              <w:rPr>
                <w:noProof/>
                <w:webHidden/>
              </w:rPr>
              <w:fldChar w:fldCharType="begin"/>
            </w:r>
            <w:r w:rsidR="00EE6E10">
              <w:rPr>
                <w:noProof/>
                <w:webHidden/>
              </w:rPr>
              <w:instrText xml:space="preserve"> PAGEREF _Toc527984225 \h </w:instrText>
            </w:r>
            <w:r w:rsidR="00EE6E10">
              <w:rPr>
                <w:noProof/>
                <w:webHidden/>
              </w:rPr>
            </w:r>
            <w:r w:rsidR="00EE6E10">
              <w:rPr>
                <w:noProof/>
                <w:webHidden/>
              </w:rPr>
              <w:fldChar w:fldCharType="separate"/>
            </w:r>
            <w:r w:rsidR="00482898">
              <w:rPr>
                <w:noProof/>
                <w:webHidden/>
              </w:rPr>
              <w:t>4</w:t>
            </w:r>
            <w:r w:rsidR="00EE6E10">
              <w:rPr>
                <w:noProof/>
                <w:webHidden/>
              </w:rPr>
              <w:fldChar w:fldCharType="end"/>
            </w:r>
          </w:hyperlink>
        </w:p>
        <w:p w:rsidR="00EE6E10" w:rsidRDefault="008B3C12">
          <w:pPr>
            <w:pStyle w:val="TDC1"/>
            <w:rPr>
              <w:rFonts w:eastAsiaTheme="minorEastAsia"/>
              <w:noProof/>
              <w:lang w:eastAsia="es-MX"/>
            </w:rPr>
          </w:pPr>
          <w:hyperlink w:anchor="_Toc527984226" w:history="1">
            <w:r w:rsidR="00EE6E10" w:rsidRPr="00E347AA">
              <w:rPr>
                <w:rStyle w:val="Hipervnculo"/>
                <w:rFonts w:ascii="Palatino Linotype" w:hAnsi="Palatino Linotype"/>
                <w:b/>
                <w:noProof/>
              </w:rPr>
              <w:t>IV.</w:t>
            </w:r>
            <w:r w:rsidR="00EE6E10">
              <w:rPr>
                <w:rFonts w:eastAsiaTheme="minorEastAsia"/>
                <w:noProof/>
                <w:lang w:eastAsia="es-MX"/>
              </w:rPr>
              <w:tab/>
            </w:r>
            <w:r w:rsidR="00EE6E10" w:rsidRPr="00E347AA">
              <w:rPr>
                <w:rStyle w:val="Hipervnculo"/>
                <w:rFonts w:ascii="Palatino Linotype" w:hAnsi="Palatino Linotype"/>
                <w:b/>
                <w:noProof/>
              </w:rPr>
              <w:t>CONCLUSIÓN</w:t>
            </w:r>
            <w:r w:rsidR="00EE6E10">
              <w:rPr>
                <w:noProof/>
                <w:webHidden/>
              </w:rPr>
              <w:tab/>
            </w:r>
            <w:r w:rsidR="00EE6E10">
              <w:rPr>
                <w:noProof/>
                <w:webHidden/>
              </w:rPr>
              <w:fldChar w:fldCharType="begin"/>
            </w:r>
            <w:r w:rsidR="00EE6E10">
              <w:rPr>
                <w:noProof/>
                <w:webHidden/>
              </w:rPr>
              <w:instrText xml:space="preserve"> PAGEREF _Toc527984226 \h </w:instrText>
            </w:r>
            <w:r w:rsidR="00EE6E10">
              <w:rPr>
                <w:noProof/>
                <w:webHidden/>
              </w:rPr>
            </w:r>
            <w:r w:rsidR="00EE6E10">
              <w:rPr>
                <w:noProof/>
                <w:webHidden/>
              </w:rPr>
              <w:fldChar w:fldCharType="separate"/>
            </w:r>
            <w:r w:rsidR="00482898">
              <w:rPr>
                <w:noProof/>
                <w:webHidden/>
              </w:rPr>
              <w:t>11</w:t>
            </w:r>
            <w:r w:rsidR="00EE6E10">
              <w:rPr>
                <w:noProof/>
                <w:webHidden/>
              </w:rPr>
              <w:fldChar w:fldCharType="end"/>
            </w:r>
          </w:hyperlink>
        </w:p>
        <w:p w:rsidR="00B67AB6" w:rsidRDefault="00EB3A07" w:rsidP="00B67AB6">
          <w:r w:rsidRPr="00D33AF9">
            <w:rPr>
              <w:b/>
              <w:bCs/>
              <w:lang w:val="es-ES"/>
            </w:rPr>
            <w:fldChar w:fldCharType="end"/>
          </w:r>
        </w:p>
      </w:sdtContent>
    </w:sdt>
    <w:p w:rsidR="00B67AB6" w:rsidRDefault="00B67AB6" w:rsidP="00B67AB6"/>
    <w:p w:rsidR="00EB3A07" w:rsidRPr="00D33AF9" w:rsidRDefault="00EB3A07" w:rsidP="00EB3A07">
      <w:pPr>
        <w:pStyle w:val="Ttulo1"/>
        <w:numPr>
          <w:ilvl w:val="0"/>
          <w:numId w:val="13"/>
        </w:numPr>
        <w:rPr>
          <w:rFonts w:ascii="Palatino Linotype" w:hAnsi="Palatino Linotype"/>
          <w:b/>
          <w:color w:val="auto"/>
          <w:sz w:val="24"/>
          <w:szCs w:val="24"/>
        </w:rPr>
      </w:pPr>
      <w:bookmarkStart w:id="0" w:name="_Toc527984223"/>
      <w:r w:rsidRPr="00D33AF9">
        <w:rPr>
          <w:rFonts w:ascii="Palatino Linotype" w:hAnsi="Palatino Linotype"/>
          <w:b/>
          <w:color w:val="auto"/>
          <w:sz w:val="24"/>
          <w:szCs w:val="24"/>
        </w:rPr>
        <w:t>Consideraciones Generales.</w:t>
      </w:r>
      <w:bookmarkEnd w:id="0"/>
    </w:p>
    <w:p w:rsidR="00EB3A07" w:rsidRPr="00D33AF9" w:rsidRDefault="00EB3A07" w:rsidP="00EB3A07">
      <w:pPr>
        <w:pStyle w:val="Prrafodelista"/>
        <w:spacing w:line="360" w:lineRule="auto"/>
        <w:ind w:left="1080"/>
        <w:jc w:val="both"/>
        <w:rPr>
          <w:rFonts w:ascii="Palatino Linotype" w:hAnsi="Palatino Linotype" w:cs="Arial"/>
          <w:b/>
        </w:rPr>
      </w:pPr>
    </w:p>
    <w:p w:rsidR="00B67AB6" w:rsidRPr="0067486B" w:rsidRDefault="00EB3A07" w:rsidP="00C60164">
      <w:pPr>
        <w:pStyle w:val="Prrafodelista"/>
        <w:numPr>
          <w:ilvl w:val="0"/>
          <w:numId w:val="12"/>
        </w:numPr>
        <w:spacing w:line="360" w:lineRule="auto"/>
        <w:ind w:left="426"/>
        <w:jc w:val="both"/>
        <w:rPr>
          <w:rFonts w:ascii="Palatino Linotype" w:hAnsi="Palatino Linotype" w:cs="Arial"/>
        </w:rPr>
      </w:pPr>
      <w:r w:rsidRPr="0067486B">
        <w:rPr>
          <w:rFonts w:ascii="Palatino Linotype" w:eastAsia="Times New Roman" w:hAnsi="Palatino Linotype" w:cs="Arial"/>
          <w:lang w:val="es-ES_tradnl"/>
        </w:rPr>
        <w:lastRenderedPageBreak/>
        <w:t xml:space="preserve">Hemos considerado emitir el presente voto particular concurrente </w:t>
      </w:r>
      <w:r w:rsidR="0067486B" w:rsidRPr="0067486B">
        <w:rPr>
          <w:rFonts w:ascii="Palatino Linotype" w:eastAsia="Times New Roman" w:hAnsi="Palatino Linotype" w:cs="Arial"/>
          <w:lang w:val="es-ES_tradnl"/>
        </w:rPr>
        <w:t xml:space="preserve">respecto de la </w:t>
      </w:r>
      <w:r w:rsidRPr="0067486B">
        <w:rPr>
          <w:rFonts w:ascii="Palatino Linotype" w:eastAsia="Times New Roman" w:hAnsi="Palatino Linotype" w:cs="Arial"/>
          <w:lang w:val="es-ES_tradnl"/>
        </w:rPr>
        <w:t>resolución</w:t>
      </w:r>
      <w:r w:rsidR="0067486B" w:rsidRPr="0067486B">
        <w:rPr>
          <w:rFonts w:ascii="Palatino Linotype" w:eastAsia="Times New Roman" w:hAnsi="Palatino Linotype" w:cs="Arial"/>
          <w:lang w:val="es-ES_tradnl"/>
        </w:rPr>
        <w:t xml:space="preserve"> al rubro indicada, y aprobada por el</w:t>
      </w:r>
      <w:r w:rsidRPr="0067486B">
        <w:rPr>
          <w:rFonts w:ascii="Palatino Linotype" w:eastAsia="Times New Roman" w:hAnsi="Palatino Linotype" w:cs="Arial"/>
          <w:lang w:val="es-ES_tradnl"/>
        </w:rPr>
        <w:t xml:space="preserve"> </w:t>
      </w:r>
      <w:r w:rsidRPr="0067486B">
        <w:rPr>
          <w:rFonts w:ascii="Palatino Linotype" w:hAnsi="Palatino Linotype" w:cs="Arial"/>
        </w:rPr>
        <w:t>Pleno del Instituto de Transparencia, Acceso a la Información Pública y Protección de Datos Personales del Estado de México y Mu</w:t>
      </w:r>
      <w:r w:rsidR="00195AD4" w:rsidRPr="0067486B">
        <w:rPr>
          <w:rFonts w:ascii="Palatino Linotype" w:hAnsi="Palatino Linotype" w:cs="Arial"/>
        </w:rPr>
        <w:t>nicipios, en su Trigésimo Octava</w:t>
      </w:r>
      <w:r w:rsidRPr="0067486B">
        <w:rPr>
          <w:rFonts w:ascii="Palatino Linotype" w:hAnsi="Palatino Linotype" w:cs="Arial"/>
        </w:rPr>
        <w:t xml:space="preserve"> sesión ordinaria de fecha </w:t>
      </w:r>
      <w:r w:rsidR="008E289A" w:rsidRPr="0067486B">
        <w:rPr>
          <w:rFonts w:ascii="Palatino Linotype" w:hAnsi="Palatino Linotype" w:cs="Arial"/>
        </w:rPr>
        <w:t>diecisiete</w:t>
      </w:r>
      <w:r w:rsidRPr="0067486B">
        <w:rPr>
          <w:rFonts w:ascii="Palatino Linotype" w:hAnsi="Palatino Linotype" w:cs="Arial"/>
        </w:rPr>
        <w:t xml:space="preserve"> (</w:t>
      </w:r>
      <w:r w:rsidR="008E289A" w:rsidRPr="0067486B">
        <w:rPr>
          <w:rFonts w:ascii="Palatino Linotype" w:hAnsi="Palatino Linotype" w:cs="Arial"/>
        </w:rPr>
        <w:t>17</w:t>
      </w:r>
      <w:r w:rsidRPr="0067486B">
        <w:rPr>
          <w:rFonts w:ascii="Palatino Linotype" w:hAnsi="Palatino Linotype" w:cs="Arial"/>
        </w:rPr>
        <w:t>) de</w:t>
      </w:r>
      <w:r w:rsidR="008E289A" w:rsidRPr="0067486B">
        <w:rPr>
          <w:rFonts w:ascii="Palatino Linotype" w:hAnsi="Palatino Linotype" w:cs="Arial"/>
        </w:rPr>
        <w:t xml:space="preserve"> octubre</w:t>
      </w:r>
      <w:r w:rsidRPr="0067486B">
        <w:rPr>
          <w:rFonts w:ascii="Palatino Linotype" w:hAnsi="Palatino Linotype" w:cs="Arial"/>
        </w:rPr>
        <w:t xml:space="preserve"> de dos mil dieciocho, en el recurso de revisión promovido por</w:t>
      </w:r>
      <w:r w:rsidR="008E289A" w:rsidRPr="0067486B">
        <w:rPr>
          <w:rFonts w:ascii="Palatino Linotype" w:hAnsi="Palatino Linotype"/>
          <w:b/>
          <w:lang w:val="es-ES_tradnl"/>
        </w:rPr>
        <w:t xml:space="preserve"> </w:t>
      </w:r>
      <w:r w:rsidR="00743E71" w:rsidRPr="00743E71">
        <w:rPr>
          <w:rFonts w:ascii="Palatino Linotype" w:hAnsi="Palatino Linotype"/>
          <w:b/>
          <w:highlight w:val="black"/>
          <w:lang w:val="es-ES_tradnl"/>
        </w:rPr>
        <w:t>-------------------------------------------</w:t>
      </w:r>
      <w:bookmarkStart w:id="1" w:name="_GoBack"/>
      <w:bookmarkEnd w:id="1"/>
      <w:r w:rsidRPr="0067486B">
        <w:rPr>
          <w:rFonts w:ascii="Palatino Linotype" w:hAnsi="Palatino Linotype" w:cs="Arial"/>
        </w:rPr>
        <w:t>,</w:t>
      </w:r>
      <w:r w:rsidRPr="0067486B">
        <w:rPr>
          <w:rFonts w:ascii="Palatino Linotype" w:hAnsi="Palatino Linotype" w:cs="Arial"/>
          <w:b/>
        </w:rPr>
        <w:t xml:space="preserve"> </w:t>
      </w:r>
      <w:r w:rsidRPr="0067486B">
        <w:rPr>
          <w:rFonts w:ascii="Palatino Linotype" w:hAnsi="Palatino Linotype" w:cs="Arial"/>
        </w:rPr>
        <w:t xml:space="preserve">en contra de la respuesta de la </w:t>
      </w:r>
      <w:r w:rsidRPr="0067486B">
        <w:rPr>
          <w:rFonts w:ascii="Palatino Linotype" w:hAnsi="Palatino Linotype"/>
          <w:b/>
        </w:rPr>
        <w:t>Secretaría de</w:t>
      </w:r>
      <w:r w:rsidR="008E289A" w:rsidRPr="0067486B">
        <w:rPr>
          <w:rFonts w:ascii="Palatino Linotype" w:hAnsi="Palatino Linotype"/>
          <w:b/>
        </w:rPr>
        <w:t xml:space="preserve"> De</w:t>
      </w:r>
      <w:r w:rsidR="0067486B">
        <w:rPr>
          <w:rFonts w:ascii="Palatino Linotype" w:hAnsi="Palatino Linotype"/>
          <w:b/>
        </w:rPr>
        <w:t>sarrollo Urbano y Metropolitano.</w:t>
      </w:r>
    </w:p>
    <w:p w:rsidR="0067486B" w:rsidRPr="0067486B" w:rsidRDefault="0067486B" w:rsidP="0067486B">
      <w:pPr>
        <w:pStyle w:val="Prrafodelista"/>
        <w:spacing w:line="360" w:lineRule="auto"/>
        <w:ind w:left="426"/>
        <w:jc w:val="both"/>
        <w:rPr>
          <w:rFonts w:ascii="Palatino Linotype" w:hAnsi="Palatino Linotype" w:cs="Arial"/>
        </w:rPr>
      </w:pPr>
    </w:p>
    <w:p w:rsidR="0083188B" w:rsidRDefault="00EB3A07" w:rsidP="0083188B">
      <w:pPr>
        <w:pStyle w:val="Prrafodelista"/>
        <w:numPr>
          <w:ilvl w:val="0"/>
          <w:numId w:val="12"/>
        </w:numPr>
        <w:spacing w:before="240" w:after="240" w:line="360" w:lineRule="auto"/>
        <w:ind w:right="49"/>
        <w:jc w:val="both"/>
        <w:rPr>
          <w:rFonts w:ascii="Palatino Linotype" w:hAnsi="Palatino Linotype" w:cs="Arial"/>
        </w:rPr>
      </w:pPr>
      <w:r w:rsidRPr="0083188B">
        <w:rPr>
          <w:rFonts w:ascii="Palatino Linotype" w:hAnsi="Palatino Linotype" w:cs="Arial"/>
        </w:rPr>
        <w:t>La resolución determina puntualmente que resultan fundad</w:t>
      </w:r>
      <w:r w:rsidR="008E289A" w:rsidRPr="0083188B">
        <w:rPr>
          <w:rFonts w:ascii="Palatino Linotype" w:hAnsi="Palatino Linotype" w:cs="Arial"/>
        </w:rPr>
        <w:t>o</w:t>
      </w:r>
      <w:r w:rsidRPr="0083188B">
        <w:rPr>
          <w:rFonts w:ascii="Palatino Linotype" w:hAnsi="Palatino Linotype" w:cs="Arial"/>
        </w:rPr>
        <w:t xml:space="preserve">s </w:t>
      </w:r>
      <w:r w:rsidR="008E289A" w:rsidRPr="0083188B">
        <w:rPr>
          <w:rFonts w:ascii="Palatino Linotype" w:hAnsi="Palatino Linotype" w:cs="Arial"/>
        </w:rPr>
        <w:t>lo</w:t>
      </w:r>
      <w:r w:rsidRPr="0083188B">
        <w:rPr>
          <w:rFonts w:ascii="Palatino Linotype" w:hAnsi="Palatino Linotype" w:cs="Arial"/>
        </w:rPr>
        <w:t>s</w:t>
      </w:r>
      <w:r w:rsidR="008E289A" w:rsidRPr="0083188B">
        <w:rPr>
          <w:rFonts w:ascii="Palatino Linotype" w:hAnsi="Palatino Linotype" w:cs="Arial"/>
        </w:rPr>
        <w:t xml:space="preserve"> motivos de inconformidad </w:t>
      </w:r>
      <w:r w:rsidR="0083188B" w:rsidRPr="0083188B">
        <w:rPr>
          <w:rFonts w:ascii="Palatino Linotype" w:hAnsi="Palatino Linotype" w:cs="Arial"/>
        </w:rPr>
        <w:t>hechos valer por el</w:t>
      </w:r>
      <w:r w:rsidRPr="0083188B">
        <w:rPr>
          <w:rFonts w:ascii="Palatino Linotype" w:hAnsi="Palatino Linotype" w:cs="Arial"/>
        </w:rPr>
        <w:t xml:space="preserve"> recurrente en términos del Considerando</w:t>
      </w:r>
      <w:r w:rsidR="0083188B" w:rsidRPr="0083188B">
        <w:rPr>
          <w:rFonts w:ascii="Palatino Linotype" w:hAnsi="Palatino Linotype" w:cs="Arial"/>
        </w:rPr>
        <w:t xml:space="preserve"> </w:t>
      </w:r>
      <w:r w:rsidR="0083188B" w:rsidRPr="0083188B">
        <w:rPr>
          <w:rFonts w:ascii="Palatino Linotype" w:hAnsi="Palatino Linotype" w:cs="Arial"/>
          <w:b/>
        </w:rPr>
        <w:t>CUARTO</w:t>
      </w:r>
      <w:r w:rsidRPr="0083188B">
        <w:rPr>
          <w:rFonts w:ascii="Palatino Linotype" w:hAnsi="Palatino Linotype" w:cs="Arial"/>
        </w:rPr>
        <w:t xml:space="preserve">, por lo que se </w:t>
      </w:r>
      <w:r w:rsidR="0083188B" w:rsidRPr="0083188B">
        <w:rPr>
          <w:rFonts w:ascii="Palatino Linotype" w:hAnsi="Palatino Linotype" w:cs="Arial"/>
          <w:b/>
        </w:rPr>
        <w:t>REVOCA</w:t>
      </w:r>
      <w:r w:rsidRPr="0083188B">
        <w:rPr>
          <w:rFonts w:ascii="Palatino Linotype" w:hAnsi="Palatino Linotype" w:cs="Arial"/>
        </w:rPr>
        <w:t xml:space="preserve"> la respuesta otorgada por el </w:t>
      </w:r>
      <w:r w:rsidRPr="0083188B">
        <w:rPr>
          <w:rFonts w:ascii="Palatino Linotype" w:hAnsi="Palatino Linotype" w:cs="Arial"/>
          <w:b/>
        </w:rPr>
        <w:t>SUJETO OBLIGADO</w:t>
      </w:r>
      <w:r w:rsidR="0083188B" w:rsidRPr="0083188B">
        <w:rPr>
          <w:rFonts w:ascii="Palatino Linotype" w:hAnsi="Palatino Linotype" w:cs="Arial"/>
        </w:rPr>
        <w:t xml:space="preserve"> y se </w:t>
      </w:r>
      <w:r w:rsidR="0083188B" w:rsidRPr="0083188B">
        <w:rPr>
          <w:rFonts w:ascii="Palatino Linotype" w:hAnsi="Palatino Linotype" w:cs="Arial"/>
          <w:b/>
        </w:rPr>
        <w:t>ORDENA</w:t>
      </w:r>
      <w:r w:rsidR="0083188B" w:rsidRPr="0083188B">
        <w:rPr>
          <w:rFonts w:ascii="Palatino Linotype" w:hAnsi="Palatino Linotype" w:cs="Arial"/>
        </w:rPr>
        <w:t xml:space="preserve"> hacer entrega vía Sistema de Acceso a la Información Mexiquense </w:t>
      </w:r>
      <w:r w:rsidR="0083188B" w:rsidRPr="0083188B">
        <w:rPr>
          <w:rFonts w:ascii="Palatino Linotype" w:hAnsi="Palatino Linotype" w:cs="Arial"/>
          <w:b/>
        </w:rPr>
        <w:t>(SAIMEX)</w:t>
      </w:r>
      <w:r w:rsidR="0083188B" w:rsidRPr="0083188B">
        <w:rPr>
          <w:rFonts w:ascii="Palatino Linotype" w:hAnsi="Palatino Linotype" w:cs="Arial"/>
        </w:rPr>
        <w:t xml:space="preserve">, en versión pública, de los documentos que contengan </w:t>
      </w:r>
      <w:r w:rsidR="0083188B">
        <w:rPr>
          <w:rFonts w:ascii="Palatino Linotype" w:hAnsi="Palatino Linotype" w:cs="Arial"/>
        </w:rPr>
        <w:t>l</w:t>
      </w:r>
      <w:r w:rsidR="0083188B" w:rsidRPr="0083188B">
        <w:rPr>
          <w:rFonts w:ascii="Palatino Linotype" w:hAnsi="Palatino Linotype" w:cs="Arial"/>
        </w:rPr>
        <w:t>os bienes muebles de la Secretaria de Desarrollo Urbano y Metropolitano y el servidor público que resguarda cada uno, al dieciséis de agosto de dos mil dieciocho.</w:t>
      </w:r>
    </w:p>
    <w:p w:rsidR="0083188B" w:rsidRPr="0083188B" w:rsidRDefault="0083188B" w:rsidP="0083188B">
      <w:pPr>
        <w:pStyle w:val="Prrafodelista"/>
        <w:rPr>
          <w:rFonts w:ascii="Palatino Linotype" w:hAnsi="Palatino Linotype" w:cs="Arial"/>
        </w:rPr>
      </w:pPr>
    </w:p>
    <w:p w:rsidR="00EE6E10" w:rsidRPr="0067486B" w:rsidRDefault="0083188B" w:rsidP="006E14EC">
      <w:pPr>
        <w:pStyle w:val="Prrafodelista"/>
        <w:numPr>
          <w:ilvl w:val="0"/>
          <w:numId w:val="12"/>
        </w:numPr>
        <w:spacing w:before="240" w:after="240" w:line="360" w:lineRule="auto"/>
        <w:ind w:right="49"/>
        <w:jc w:val="both"/>
        <w:rPr>
          <w:rFonts w:ascii="Palatino Linotype" w:hAnsi="Palatino Linotype" w:cs="Arial"/>
        </w:rPr>
      </w:pPr>
      <w:r w:rsidRPr="0067486B">
        <w:rPr>
          <w:rFonts w:ascii="Palatino Linotype" w:hAnsi="Palatino Linotype" w:cs="Arial"/>
        </w:rPr>
        <w:t xml:space="preserve">Resolución que no compartimos en su totalidad y por tal motivo generamos el presente voto particular, lo anterior en virtud de que la ponencia </w:t>
      </w:r>
      <w:proofErr w:type="spellStart"/>
      <w:r w:rsidRPr="0067486B">
        <w:rPr>
          <w:rFonts w:ascii="Palatino Linotype" w:hAnsi="Palatino Linotype" w:cs="Arial"/>
        </w:rPr>
        <w:t>resolutora</w:t>
      </w:r>
      <w:proofErr w:type="spellEnd"/>
      <w:r w:rsidRPr="0067486B">
        <w:rPr>
          <w:rFonts w:ascii="Palatino Linotype" w:hAnsi="Palatino Linotype" w:cs="Arial"/>
        </w:rPr>
        <w:t xml:space="preserve"> en el estudio de la resolución determino que la información entregada por el Sujeto Obligado era susceptible de ser clasificada </w:t>
      </w:r>
      <w:r w:rsidR="0067486B">
        <w:rPr>
          <w:rFonts w:ascii="Palatino Linotype" w:hAnsi="Palatino Linotype" w:cs="Arial"/>
        </w:rPr>
        <w:t xml:space="preserve">como reservada. </w:t>
      </w:r>
    </w:p>
    <w:p w:rsidR="00EE6E10" w:rsidRDefault="00EE6E10" w:rsidP="00EE6E10">
      <w:pPr>
        <w:pStyle w:val="Prrafodelista"/>
        <w:numPr>
          <w:ilvl w:val="0"/>
          <w:numId w:val="12"/>
        </w:numPr>
        <w:spacing w:before="240" w:after="240" w:line="360" w:lineRule="auto"/>
        <w:ind w:right="49"/>
        <w:jc w:val="both"/>
        <w:rPr>
          <w:rFonts w:ascii="Palatino Linotype" w:hAnsi="Palatino Linotype" w:cs="Arial"/>
        </w:rPr>
      </w:pPr>
      <w:r w:rsidRPr="00EE6E10">
        <w:rPr>
          <w:rFonts w:ascii="Palatino Linotype" w:hAnsi="Palatino Linotype" w:cs="Arial"/>
        </w:rPr>
        <w:lastRenderedPageBreak/>
        <w:t>Por los motivos y las razones de hecho y de derecho que se señalan a continuación y en términos de lo señalado por el artículo 14 fracción XI del Reglamento Interior del Instituto de Transparencia y Acceso a la Información Pública del Estado de México y Mu</w:t>
      </w:r>
      <w:r>
        <w:rPr>
          <w:rFonts w:ascii="Palatino Linotype" w:hAnsi="Palatino Linotype" w:cs="Arial"/>
        </w:rPr>
        <w:t>nicipios formulamos</w:t>
      </w:r>
      <w:r w:rsidRPr="00EE6E10">
        <w:rPr>
          <w:rFonts w:ascii="Palatino Linotype" w:hAnsi="Palatino Linotype" w:cs="Arial"/>
        </w:rPr>
        <w:t xml:space="preserve"> el presente voto particular. </w:t>
      </w:r>
    </w:p>
    <w:p w:rsidR="00EE6E10" w:rsidRPr="00EE6E10" w:rsidRDefault="00EE6E10" w:rsidP="00EE6E10">
      <w:pPr>
        <w:pStyle w:val="Prrafodelista"/>
        <w:rPr>
          <w:rFonts w:ascii="Palatino Linotype" w:hAnsi="Palatino Linotype" w:cs="Arial"/>
        </w:rPr>
      </w:pPr>
    </w:p>
    <w:p w:rsidR="00EE6E10" w:rsidRPr="00EE6E10" w:rsidRDefault="00EE6E10" w:rsidP="00EE6E10">
      <w:pPr>
        <w:pStyle w:val="Prrafodelista"/>
        <w:spacing w:before="240" w:after="240" w:line="360" w:lineRule="auto"/>
        <w:ind w:left="360" w:right="49"/>
        <w:jc w:val="both"/>
        <w:rPr>
          <w:rFonts w:ascii="Palatino Linotype" w:hAnsi="Palatino Linotype" w:cs="Arial"/>
        </w:rPr>
      </w:pPr>
    </w:p>
    <w:p w:rsidR="00EB3A07" w:rsidRPr="00D33AF9" w:rsidRDefault="00EB3A07" w:rsidP="00EB3A07">
      <w:pPr>
        <w:pStyle w:val="Ttulo1"/>
        <w:numPr>
          <w:ilvl w:val="0"/>
          <w:numId w:val="13"/>
        </w:numPr>
        <w:rPr>
          <w:rFonts w:ascii="Palatino Linotype" w:hAnsi="Palatino Linotype"/>
          <w:b/>
          <w:color w:val="auto"/>
          <w:sz w:val="24"/>
          <w:szCs w:val="24"/>
        </w:rPr>
      </w:pPr>
      <w:bookmarkStart w:id="2" w:name="_Toc527984224"/>
      <w:r w:rsidRPr="00D33AF9">
        <w:rPr>
          <w:rFonts w:ascii="Palatino Linotype" w:hAnsi="Palatino Linotype"/>
          <w:b/>
          <w:color w:val="auto"/>
          <w:sz w:val="24"/>
          <w:szCs w:val="24"/>
        </w:rPr>
        <w:t>De los requerimientos</w:t>
      </w:r>
      <w:r w:rsidR="00AB3EF2">
        <w:rPr>
          <w:rFonts w:ascii="Palatino Linotype" w:hAnsi="Palatino Linotype"/>
          <w:b/>
          <w:color w:val="auto"/>
          <w:sz w:val="24"/>
          <w:szCs w:val="24"/>
        </w:rPr>
        <w:t>.</w:t>
      </w:r>
      <w:bookmarkEnd w:id="2"/>
    </w:p>
    <w:p w:rsidR="00EB3A07" w:rsidRPr="00D33AF9" w:rsidRDefault="00EB3A07" w:rsidP="00EB3A07">
      <w:pPr>
        <w:pStyle w:val="Prrafodelista"/>
        <w:spacing w:line="360" w:lineRule="auto"/>
        <w:ind w:left="1080"/>
        <w:jc w:val="both"/>
        <w:rPr>
          <w:rFonts w:ascii="Palatino Linotype" w:hAnsi="Palatino Linotype" w:cs="Arial"/>
          <w:b/>
        </w:rPr>
      </w:pPr>
    </w:p>
    <w:p w:rsidR="00EB3A07" w:rsidRPr="000B064E" w:rsidRDefault="00EB3A07" w:rsidP="00EB3A07">
      <w:pPr>
        <w:pStyle w:val="Prrafodelista"/>
        <w:numPr>
          <w:ilvl w:val="0"/>
          <w:numId w:val="12"/>
        </w:numPr>
        <w:spacing w:line="360" w:lineRule="auto"/>
        <w:jc w:val="both"/>
        <w:rPr>
          <w:rFonts w:ascii="Palatino Linotype" w:eastAsia="Times New Roman" w:hAnsi="Palatino Linotype" w:cs="Arial"/>
        </w:rPr>
      </w:pPr>
      <w:r>
        <w:rPr>
          <w:rFonts w:ascii="Palatino Linotype" w:hAnsi="Palatino Linotype"/>
          <w:b/>
          <w:lang w:val="es-ES_tradnl"/>
        </w:rPr>
        <w:t xml:space="preserve">El particular solicitó, </w:t>
      </w:r>
      <w:r w:rsidRPr="00D33AF9">
        <w:rPr>
          <w:rFonts w:ascii="Palatino Linotype" w:hAnsi="Palatino Linotype" w:cs="Arial"/>
        </w:rPr>
        <w:t>mediante la</w:t>
      </w:r>
      <w:r>
        <w:rPr>
          <w:rFonts w:ascii="Palatino Linotype" w:hAnsi="Palatino Linotype" w:cs="Arial"/>
        </w:rPr>
        <w:t>s</w:t>
      </w:r>
      <w:r w:rsidRPr="00D33AF9">
        <w:rPr>
          <w:rFonts w:ascii="Palatino Linotype" w:hAnsi="Palatino Linotype" w:cs="Arial"/>
        </w:rPr>
        <w:t xml:space="preserve"> solicitud de acceso a la información </w:t>
      </w:r>
      <w:r w:rsidRPr="00D33AF9">
        <w:rPr>
          <w:rFonts w:ascii="Palatino Linotype" w:hAnsi="Palatino Linotype" w:cs="Arial"/>
          <w:b/>
        </w:rPr>
        <w:t>00</w:t>
      </w:r>
      <w:r w:rsidR="00A14D6F">
        <w:rPr>
          <w:rFonts w:ascii="Palatino Linotype" w:hAnsi="Palatino Linotype" w:cs="Arial"/>
          <w:b/>
        </w:rPr>
        <w:t>230</w:t>
      </w:r>
      <w:r w:rsidRPr="00D33AF9">
        <w:rPr>
          <w:rFonts w:ascii="Palatino Linotype" w:hAnsi="Palatino Linotype" w:cs="Arial"/>
          <w:b/>
        </w:rPr>
        <w:t>/</w:t>
      </w:r>
      <w:r w:rsidR="00A14D6F">
        <w:rPr>
          <w:rFonts w:ascii="Palatino Linotype" w:hAnsi="Palatino Linotype" w:cs="Arial"/>
          <w:b/>
        </w:rPr>
        <w:t>SEDUM</w:t>
      </w:r>
      <w:r>
        <w:rPr>
          <w:rFonts w:ascii="Palatino Linotype" w:hAnsi="Palatino Linotype" w:cs="Arial"/>
          <w:b/>
        </w:rPr>
        <w:t>/IP/2018</w:t>
      </w:r>
      <w:r w:rsidRPr="00D33AF9">
        <w:rPr>
          <w:rFonts w:ascii="Palatino Linotype" w:hAnsi="Palatino Linotype" w:cs="Arial"/>
          <w:b/>
        </w:rPr>
        <w:t>,</w:t>
      </w:r>
      <w:r>
        <w:rPr>
          <w:rFonts w:ascii="Palatino Linotype" w:hAnsi="Palatino Linotype" w:cs="Arial"/>
          <w:b/>
        </w:rPr>
        <w:t xml:space="preserve"> la siguiente información:</w:t>
      </w:r>
    </w:p>
    <w:p w:rsidR="00EB3A07" w:rsidRPr="00902248" w:rsidRDefault="00EB3A07" w:rsidP="00EB3A07">
      <w:pPr>
        <w:pStyle w:val="Prrafodelista"/>
        <w:spacing w:line="360" w:lineRule="auto"/>
        <w:ind w:left="360"/>
        <w:jc w:val="both"/>
        <w:rPr>
          <w:rFonts w:ascii="Palatino Linotype" w:eastAsia="Times New Roman" w:hAnsi="Palatino Linotype" w:cs="Arial"/>
        </w:rPr>
      </w:pPr>
      <w:r w:rsidRPr="00D33AF9">
        <w:rPr>
          <w:rFonts w:ascii="Palatino Linotype" w:hAnsi="Palatino Linotype" w:cs="Arial"/>
        </w:rPr>
        <w:t xml:space="preserve"> </w:t>
      </w:r>
    </w:p>
    <w:p w:rsidR="00EB3A07" w:rsidRDefault="00A14D6F" w:rsidP="00EB3A07">
      <w:pPr>
        <w:pStyle w:val="Prrafodelista"/>
        <w:spacing w:before="240" w:after="240" w:line="360" w:lineRule="auto"/>
        <w:ind w:left="360" w:right="900"/>
        <w:jc w:val="both"/>
        <w:rPr>
          <w:rFonts w:ascii="Palatino Linotype" w:hAnsi="Palatino Linotype" w:cs="Arial"/>
          <w:i/>
          <w:sz w:val="22"/>
          <w:lang w:val="es-MX"/>
        </w:rPr>
      </w:pPr>
      <w:r>
        <w:rPr>
          <w:rFonts w:ascii="Palatino Linotype" w:hAnsi="Palatino Linotype" w:cs="Arial"/>
          <w:i/>
          <w:sz w:val="22"/>
          <w:lang w:val="es-MX"/>
        </w:rPr>
        <w:t>“</w:t>
      </w:r>
      <w:r w:rsidRPr="00A14D6F">
        <w:rPr>
          <w:rFonts w:ascii="Palatino Linotype" w:hAnsi="Palatino Linotype" w:cs="Arial"/>
          <w:i/>
          <w:sz w:val="22"/>
          <w:lang w:val="es-MX"/>
        </w:rPr>
        <w:t>relación de bienes muebles de la secretaría, en donde se pueda consultar el servidor público que se responsabiliza por el resguardo de los mismos</w:t>
      </w:r>
      <w:r>
        <w:rPr>
          <w:rFonts w:ascii="Palatino Linotype" w:hAnsi="Palatino Linotype" w:cs="Arial"/>
          <w:i/>
          <w:sz w:val="22"/>
          <w:lang w:val="es-MX"/>
        </w:rPr>
        <w:t>” (Sic)</w:t>
      </w:r>
    </w:p>
    <w:p w:rsidR="00EB52F8" w:rsidRPr="00067478" w:rsidRDefault="00EB52F8" w:rsidP="00EB3A07">
      <w:pPr>
        <w:pStyle w:val="Prrafodelista"/>
        <w:spacing w:before="240" w:after="240" w:line="360" w:lineRule="auto"/>
        <w:ind w:left="360" w:right="900"/>
        <w:jc w:val="both"/>
        <w:rPr>
          <w:rFonts w:ascii="Palatino Linotype" w:hAnsi="Palatino Linotype" w:cs="Arial"/>
          <w:i/>
          <w:sz w:val="22"/>
        </w:rPr>
      </w:pPr>
    </w:p>
    <w:p w:rsidR="00EB3A07" w:rsidRDefault="00EB3A07" w:rsidP="007E17C7">
      <w:pPr>
        <w:pStyle w:val="Prrafodelista"/>
        <w:numPr>
          <w:ilvl w:val="0"/>
          <w:numId w:val="12"/>
        </w:numPr>
        <w:spacing w:before="240" w:after="240" w:line="360" w:lineRule="auto"/>
        <w:ind w:right="-3"/>
        <w:jc w:val="both"/>
        <w:rPr>
          <w:rFonts w:ascii="Palatino Linotype" w:hAnsi="Palatino Linotype" w:cs="Arial"/>
        </w:rPr>
      </w:pPr>
      <w:r>
        <w:rPr>
          <w:rFonts w:ascii="Palatino Linotype" w:hAnsi="Palatino Linotype" w:cs="Arial"/>
        </w:rPr>
        <w:t xml:space="preserve">En respuesta el Sujeto Obligado a través del </w:t>
      </w:r>
      <w:r w:rsidR="007E17C7">
        <w:rPr>
          <w:rFonts w:ascii="Palatino Linotype" w:hAnsi="Palatino Linotype" w:cs="Arial"/>
        </w:rPr>
        <w:t xml:space="preserve">Coordinador Administrativo refirió que en relación a la solicitud realizada se procedió a una búsqueda en los archivos que obran en la Coordinación Administrativa y como resultado de ella se anexan la información obtenida en medio </w:t>
      </w:r>
      <w:proofErr w:type="gramStart"/>
      <w:r w:rsidR="007E17C7">
        <w:rPr>
          <w:rFonts w:ascii="Palatino Linotype" w:hAnsi="Palatino Linotype" w:cs="Arial"/>
        </w:rPr>
        <w:t>magnético</w:t>
      </w:r>
      <w:proofErr w:type="gramEnd"/>
      <w:r w:rsidR="007E17C7">
        <w:rPr>
          <w:rFonts w:ascii="Palatino Linotype" w:hAnsi="Palatino Linotype" w:cs="Arial"/>
        </w:rPr>
        <w:t>.</w:t>
      </w:r>
    </w:p>
    <w:p w:rsidR="007E17C7" w:rsidRDefault="007E17C7" w:rsidP="007E17C7">
      <w:pPr>
        <w:pStyle w:val="Prrafodelista"/>
        <w:spacing w:before="240" w:after="240" w:line="360" w:lineRule="auto"/>
        <w:ind w:left="360" w:right="-3"/>
        <w:jc w:val="both"/>
        <w:rPr>
          <w:rFonts w:ascii="Palatino Linotype" w:hAnsi="Palatino Linotype" w:cs="Arial"/>
        </w:rPr>
      </w:pPr>
    </w:p>
    <w:p w:rsidR="00EB3A07" w:rsidRDefault="00EB3A07" w:rsidP="00EB3A07">
      <w:pPr>
        <w:pStyle w:val="Prrafodelista"/>
        <w:numPr>
          <w:ilvl w:val="0"/>
          <w:numId w:val="12"/>
        </w:numPr>
        <w:spacing w:before="240" w:after="240" w:line="360" w:lineRule="auto"/>
        <w:ind w:right="-3"/>
        <w:jc w:val="both"/>
        <w:rPr>
          <w:rFonts w:ascii="Palatino Linotype" w:hAnsi="Palatino Linotype" w:cs="Arial"/>
        </w:rPr>
      </w:pPr>
      <w:r w:rsidRPr="00B120CA">
        <w:rPr>
          <w:rFonts w:ascii="Palatino Linotype" w:hAnsi="Palatino Linotype" w:cs="Arial"/>
        </w:rPr>
        <w:t>En ese sentido,</w:t>
      </w:r>
      <w:r w:rsidRPr="00B120CA">
        <w:rPr>
          <w:rFonts w:ascii="Palatino Linotype" w:hAnsi="Palatino Linotype" w:cs="Arial"/>
          <w:b/>
        </w:rPr>
        <w:t xml:space="preserve"> </w:t>
      </w:r>
      <w:r w:rsidR="007E17C7">
        <w:rPr>
          <w:rFonts w:ascii="Palatino Linotype" w:hAnsi="Palatino Linotype" w:cs="Arial"/>
          <w:b/>
        </w:rPr>
        <w:t>el</w:t>
      </w:r>
      <w:r>
        <w:rPr>
          <w:rFonts w:ascii="Palatino Linotype" w:hAnsi="Palatino Linotype" w:cs="Arial"/>
          <w:b/>
        </w:rPr>
        <w:t xml:space="preserve"> recurrente en su recurso de revisión </w:t>
      </w:r>
      <w:r w:rsidRPr="00B120CA">
        <w:rPr>
          <w:rFonts w:ascii="Palatino Linotype" w:hAnsi="Palatino Linotype" w:cs="Arial"/>
        </w:rPr>
        <w:t>manifestó</w:t>
      </w:r>
      <w:r>
        <w:rPr>
          <w:rFonts w:ascii="Palatino Linotype" w:hAnsi="Palatino Linotype" w:cs="Arial"/>
        </w:rPr>
        <w:t xml:space="preserve"> medularmente que no</w:t>
      </w:r>
      <w:r w:rsidR="007E17C7">
        <w:rPr>
          <w:rFonts w:ascii="Palatino Linotype" w:hAnsi="Palatino Linotype" w:cs="Arial"/>
        </w:rPr>
        <w:t xml:space="preserve"> se le proporcionó la información solicitada</w:t>
      </w:r>
      <w:r>
        <w:rPr>
          <w:rFonts w:ascii="Palatino Linotype" w:hAnsi="Palatino Linotype" w:cs="Arial"/>
        </w:rPr>
        <w:t>, toda vez que el</w:t>
      </w:r>
      <w:r w:rsidR="007E17C7">
        <w:rPr>
          <w:rFonts w:ascii="Palatino Linotype" w:hAnsi="Palatino Linotype" w:cs="Arial"/>
        </w:rPr>
        <w:t xml:space="preserve"> </w:t>
      </w:r>
      <w:r w:rsidR="007E17C7">
        <w:rPr>
          <w:rFonts w:ascii="Palatino Linotype" w:hAnsi="Palatino Linotype" w:cs="Arial"/>
          <w:b/>
        </w:rPr>
        <w:t>SUJETO OBLIGADO</w:t>
      </w:r>
      <w:r w:rsidR="00DB1FC3">
        <w:rPr>
          <w:rFonts w:ascii="Palatino Linotype" w:hAnsi="Palatino Linotype" w:cs="Arial"/>
          <w:b/>
        </w:rPr>
        <w:t xml:space="preserve"> </w:t>
      </w:r>
      <w:r w:rsidR="0067486B">
        <w:rPr>
          <w:rFonts w:ascii="Palatino Linotype" w:hAnsi="Palatino Linotype" w:cs="Arial"/>
        </w:rPr>
        <w:t xml:space="preserve"> no realizó la </w:t>
      </w:r>
      <w:r w:rsidR="00DB1FC3">
        <w:rPr>
          <w:rFonts w:ascii="Palatino Linotype" w:hAnsi="Palatino Linotype" w:cs="Arial"/>
        </w:rPr>
        <w:t xml:space="preserve"> entrega de la información</w:t>
      </w:r>
      <w:r w:rsidR="0067486B">
        <w:rPr>
          <w:rFonts w:ascii="Palatino Linotype" w:hAnsi="Palatino Linotype" w:cs="Arial"/>
          <w:b/>
        </w:rPr>
        <w:t xml:space="preserve">, </w:t>
      </w:r>
      <w:r w:rsidR="00DB1FC3" w:rsidRPr="00DB1FC3">
        <w:rPr>
          <w:rFonts w:ascii="Palatino Linotype" w:hAnsi="Palatino Linotype" w:cs="Arial"/>
        </w:rPr>
        <w:t xml:space="preserve">a pesar </w:t>
      </w:r>
      <w:r w:rsidR="00DB1FC3">
        <w:rPr>
          <w:rFonts w:ascii="Palatino Linotype" w:hAnsi="Palatino Linotype" w:cs="Arial"/>
        </w:rPr>
        <w:t xml:space="preserve">de que </w:t>
      </w:r>
      <w:r w:rsidR="007E17C7">
        <w:rPr>
          <w:rFonts w:ascii="Palatino Linotype" w:hAnsi="Palatino Linotype" w:cs="Arial"/>
        </w:rPr>
        <w:t>refirió</w:t>
      </w:r>
      <w:r w:rsidR="00DB1FC3">
        <w:rPr>
          <w:rFonts w:ascii="Palatino Linotype" w:hAnsi="Palatino Linotype" w:cs="Arial"/>
        </w:rPr>
        <w:t xml:space="preserve"> anexar </w:t>
      </w:r>
      <w:r w:rsidR="00DB1FC3">
        <w:rPr>
          <w:rFonts w:ascii="Palatino Linotype" w:hAnsi="Palatino Linotype" w:cs="Arial"/>
        </w:rPr>
        <w:lastRenderedPageBreak/>
        <w:t xml:space="preserve">la mima, </w:t>
      </w:r>
      <w:r w:rsidR="007E17C7">
        <w:rPr>
          <w:rFonts w:ascii="Palatino Linotype" w:hAnsi="Palatino Linotype" w:cs="Arial"/>
        </w:rPr>
        <w:t xml:space="preserve"> </w:t>
      </w:r>
      <w:r w:rsidR="00DB1FC3">
        <w:rPr>
          <w:rFonts w:ascii="Palatino Linotype" w:hAnsi="Palatino Linotype" w:cs="Arial"/>
        </w:rPr>
        <w:t xml:space="preserve">transgrediendo así el derecho humano de acceso a la información del particular. </w:t>
      </w:r>
    </w:p>
    <w:p w:rsidR="00EB3A07" w:rsidRPr="00E93F84" w:rsidRDefault="00EB3A07" w:rsidP="00EB3A07">
      <w:pPr>
        <w:pStyle w:val="Prrafodelista"/>
        <w:rPr>
          <w:rFonts w:ascii="Palatino Linotype" w:hAnsi="Palatino Linotype" w:cs="Arial"/>
        </w:rPr>
      </w:pPr>
    </w:p>
    <w:p w:rsidR="00AB3EF2" w:rsidRPr="00AB3EF2" w:rsidRDefault="00DB1FC3" w:rsidP="00AB3EF2">
      <w:pPr>
        <w:pStyle w:val="Prrafodelista"/>
        <w:numPr>
          <w:ilvl w:val="0"/>
          <w:numId w:val="12"/>
        </w:numPr>
        <w:spacing w:line="360" w:lineRule="auto"/>
        <w:jc w:val="both"/>
        <w:rPr>
          <w:rFonts w:ascii="Palatino Linotype" w:hAnsi="Palatino Linotype" w:cs="Arial"/>
        </w:rPr>
      </w:pPr>
      <w:r>
        <w:rPr>
          <w:rFonts w:ascii="Palatino Linotype" w:hAnsi="Palatino Linotype" w:cs="Arial"/>
        </w:rPr>
        <w:t>En ese sentido</w:t>
      </w:r>
      <w:r w:rsidR="00EB3A07" w:rsidRPr="00634736">
        <w:rPr>
          <w:rFonts w:ascii="Palatino Linotype" w:hAnsi="Palatino Linotype" w:cs="Arial"/>
        </w:rPr>
        <w:t xml:space="preserve">, </w:t>
      </w:r>
      <w:r w:rsidR="00EB3A07">
        <w:rPr>
          <w:rFonts w:ascii="Palatino Linotype" w:hAnsi="Palatino Linotype" w:cs="Arial"/>
        </w:rPr>
        <w:t>el Sujeto Obligado en el informe justificado</w:t>
      </w:r>
      <w:r>
        <w:rPr>
          <w:rFonts w:ascii="Palatino Linotype" w:hAnsi="Palatino Linotype" w:cs="Arial"/>
        </w:rPr>
        <w:t xml:space="preserve"> a efecto de reparar la afectación causada remite el “Padrón de Bienes Muebles por Dependencia y Reguardo”, los cuales a consideración de la ponencia que resuelve no son susceptibles de ponerse a la vista del particular puesto que en su contenido se aprecian datos </w:t>
      </w:r>
      <w:r w:rsidR="0067486B">
        <w:rPr>
          <w:rFonts w:ascii="Palatino Linotype" w:hAnsi="Palatino Linotype" w:cs="Arial"/>
        </w:rPr>
        <w:t xml:space="preserve">susceptibles de clasificarse como reservados.  </w:t>
      </w:r>
    </w:p>
    <w:p w:rsidR="00EB3A07" w:rsidRPr="00ED5E1B" w:rsidRDefault="00EB3A07" w:rsidP="00EB3A07">
      <w:pPr>
        <w:pStyle w:val="Prrafodelista"/>
        <w:rPr>
          <w:rFonts w:ascii="Palatino Linotype" w:hAnsi="Palatino Linotype" w:cs="Arial"/>
        </w:rPr>
      </w:pPr>
    </w:p>
    <w:p w:rsidR="00EB3A07" w:rsidRDefault="00DB1FC3" w:rsidP="00304BCD">
      <w:pPr>
        <w:pStyle w:val="Ttulo1"/>
        <w:numPr>
          <w:ilvl w:val="0"/>
          <w:numId w:val="13"/>
        </w:numPr>
        <w:spacing w:line="360" w:lineRule="auto"/>
        <w:jc w:val="both"/>
        <w:rPr>
          <w:rFonts w:ascii="Palatino Linotype" w:hAnsi="Palatino Linotype"/>
          <w:b/>
          <w:color w:val="auto"/>
          <w:sz w:val="24"/>
          <w:szCs w:val="24"/>
        </w:rPr>
      </w:pPr>
      <w:bookmarkStart w:id="3" w:name="_Toc527984225"/>
      <w:r w:rsidRPr="00AB3EF2">
        <w:rPr>
          <w:rFonts w:ascii="Palatino Linotype" w:hAnsi="Palatino Linotype"/>
          <w:b/>
          <w:color w:val="auto"/>
          <w:sz w:val="24"/>
          <w:szCs w:val="24"/>
        </w:rPr>
        <w:t xml:space="preserve">Del </w:t>
      </w:r>
      <w:r w:rsidR="00AB3EF2" w:rsidRPr="00AB3EF2">
        <w:rPr>
          <w:rFonts w:ascii="Palatino Linotype" w:hAnsi="Palatino Linotype"/>
          <w:b/>
          <w:color w:val="auto"/>
          <w:sz w:val="24"/>
          <w:szCs w:val="24"/>
        </w:rPr>
        <w:t>estudio del asunto.</w:t>
      </w:r>
      <w:bookmarkEnd w:id="3"/>
      <w:r w:rsidR="00AB3EF2" w:rsidRPr="00AB3EF2">
        <w:rPr>
          <w:rFonts w:ascii="Palatino Linotype" w:hAnsi="Palatino Linotype"/>
          <w:b/>
          <w:color w:val="auto"/>
          <w:sz w:val="24"/>
          <w:szCs w:val="24"/>
        </w:rPr>
        <w:t xml:space="preserve"> </w:t>
      </w:r>
    </w:p>
    <w:p w:rsidR="00AB3EF2" w:rsidRPr="00AB3EF2" w:rsidRDefault="00AB3EF2" w:rsidP="00AB3EF2"/>
    <w:p w:rsidR="00677550" w:rsidRPr="00677550" w:rsidRDefault="00AB3EF2" w:rsidP="00677550">
      <w:pPr>
        <w:pStyle w:val="Prrafodelista"/>
        <w:numPr>
          <w:ilvl w:val="0"/>
          <w:numId w:val="12"/>
        </w:numPr>
        <w:spacing w:line="360" w:lineRule="auto"/>
        <w:ind w:left="426"/>
        <w:jc w:val="both"/>
        <w:rPr>
          <w:rFonts w:ascii="Palatino Linotype" w:hAnsi="Palatino Linotype" w:cs="Arial"/>
        </w:rPr>
      </w:pPr>
      <w:r>
        <w:rPr>
          <w:rFonts w:ascii="Palatino Linotype" w:hAnsi="Palatino Linotype" w:cs="Arial"/>
        </w:rPr>
        <w:t>Precisado lo anterior, es necesario señalar que el particular se encuentra interesado en acceder a “la relación de bi</w:t>
      </w:r>
      <w:r w:rsidR="00E25434">
        <w:rPr>
          <w:rFonts w:ascii="Palatino Linotype" w:hAnsi="Palatino Linotype" w:cs="Arial"/>
        </w:rPr>
        <w:t>enes muebles de la S</w:t>
      </w:r>
      <w:r>
        <w:rPr>
          <w:rFonts w:ascii="Palatino Linotype" w:hAnsi="Palatino Linotype" w:cs="Arial"/>
        </w:rPr>
        <w:t>ecretaría, en donde se pueda consultar el</w:t>
      </w:r>
      <w:r w:rsidR="00E25434">
        <w:rPr>
          <w:rFonts w:ascii="Palatino Linotype" w:hAnsi="Palatino Linotype" w:cs="Arial"/>
        </w:rPr>
        <w:t xml:space="preserve"> nombre del</w:t>
      </w:r>
      <w:r>
        <w:rPr>
          <w:rFonts w:ascii="Palatino Linotype" w:hAnsi="Palatino Linotype" w:cs="Arial"/>
        </w:rPr>
        <w:t xml:space="preserve"> servidor público que se responsabiliza por el reguardo de los mismos</w:t>
      </w:r>
      <w:r w:rsidR="00677550">
        <w:rPr>
          <w:rFonts w:ascii="Palatino Linotype" w:hAnsi="Palatino Linotype" w:cs="Arial"/>
        </w:rPr>
        <w:t>”.</w:t>
      </w:r>
    </w:p>
    <w:p w:rsidR="00677550" w:rsidRPr="00677550" w:rsidRDefault="00677550" w:rsidP="00677550">
      <w:pPr>
        <w:pStyle w:val="Prrafodelista"/>
        <w:rPr>
          <w:rFonts w:ascii="Palatino Linotype" w:hAnsi="Palatino Linotype" w:cs="Arial"/>
        </w:rPr>
      </w:pPr>
    </w:p>
    <w:p w:rsidR="00677550" w:rsidRPr="00F1541F" w:rsidRDefault="00677550" w:rsidP="00EB3A07">
      <w:pPr>
        <w:pStyle w:val="Prrafodelista"/>
        <w:numPr>
          <w:ilvl w:val="0"/>
          <w:numId w:val="12"/>
        </w:numPr>
        <w:spacing w:line="360" w:lineRule="auto"/>
        <w:ind w:left="426"/>
        <w:jc w:val="both"/>
        <w:rPr>
          <w:rFonts w:ascii="Palatino Linotype" w:hAnsi="Palatino Linotype" w:cs="Arial"/>
        </w:rPr>
      </w:pPr>
      <w:r>
        <w:rPr>
          <w:rFonts w:ascii="Palatino Linotype" w:hAnsi="Palatino Linotype" w:cs="Arial"/>
        </w:rPr>
        <w:t>En ese sentido</w:t>
      </w:r>
      <w:r w:rsidR="00E25434">
        <w:rPr>
          <w:rFonts w:ascii="Palatino Linotype" w:hAnsi="Palatino Linotype" w:cs="Arial"/>
        </w:rPr>
        <w:t xml:space="preserve">, se puede advertir que el particular </w:t>
      </w:r>
      <w:r>
        <w:rPr>
          <w:rFonts w:ascii="Palatino Linotype" w:hAnsi="Palatino Linotype" w:cs="Arial"/>
        </w:rPr>
        <w:t xml:space="preserve">pretende conocer </w:t>
      </w:r>
      <w:r w:rsidR="00E25434">
        <w:rPr>
          <w:rFonts w:ascii="Palatino Linotype" w:hAnsi="Palatino Linotype" w:cs="Arial"/>
        </w:rPr>
        <w:t xml:space="preserve">cuál </w:t>
      </w:r>
      <w:r>
        <w:rPr>
          <w:rFonts w:ascii="Palatino Linotype" w:hAnsi="Palatino Linotype" w:cs="Arial"/>
        </w:rPr>
        <w:t>es el estado que guardan los bienes que forman parte del patrimonio de dicha</w:t>
      </w:r>
      <w:r w:rsidR="00E25434">
        <w:rPr>
          <w:rFonts w:ascii="Palatino Linotype" w:hAnsi="Palatino Linotype" w:cs="Arial"/>
        </w:rPr>
        <w:t xml:space="preserve"> dependencia</w:t>
      </w:r>
      <w:r>
        <w:rPr>
          <w:rFonts w:ascii="Palatino Linotype" w:hAnsi="Palatino Linotype" w:cs="Arial"/>
        </w:rPr>
        <w:t>, lo cual otorga certeza sobre la salvaguarda y protección de los mismos,  así  pudo haberse puesto a la vista del particular el</w:t>
      </w:r>
      <w:r w:rsidR="00046063">
        <w:rPr>
          <w:rFonts w:ascii="Palatino Linotype" w:hAnsi="Palatino Linotype" w:cs="Arial"/>
        </w:rPr>
        <w:t xml:space="preserve"> informe justificado mismo que contiene ocho archivos de los cuales se advierte el</w:t>
      </w:r>
      <w:r>
        <w:rPr>
          <w:rFonts w:ascii="Palatino Linotype" w:hAnsi="Palatino Linotype" w:cs="Arial"/>
        </w:rPr>
        <w:t xml:space="preserve">  </w:t>
      </w:r>
      <w:r w:rsidRPr="00677550">
        <w:rPr>
          <w:rFonts w:ascii="Palatino Linotype" w:hAnsi="Palatino Linotype" w:cs="Arial"/>
          <w:lang w:val="es-MX"/>
        </w:rPr>
        <w:t>“Padrón de Bienes Muebles por Dependencia y Re</w:t>
      </w:r>
      <w:r w:rsidR="00E25434">
        <w:rPr>
          <w:rFonts w:ascii="Palatino Linotype" w:hAnsi="Palatino Linotype" w:cs="Arial"/>
          <w:lang w:val="es-MX"/>
        </w:rPr>
        <w:t>s</w:t>
      </w:r>
      <w:r w:rsidRPr="00677550">
        <w:rPr>
          <w:rFonts w:ascii="Palatino Linotype" w:hAnsi="Palatino Linotype" w:cs="Arial"/>
          <w:lang w:val="es-MX"/>
        </w:rPr>
        <w:t>guardo”</w:t>
      </w:r>
      <w:r>
        <w:rPr>
          <w:rFonts w:ascii="Palatino Linotype" w:hAnsi="Palatino Linotype" w:cs="Arial"/>
          <w:lang w:val="es-MX"/>
        </w:rPr>
        <w:t xml:space="preserve">, sin embargo, se consideró que dicho </w:t>
      </w:r>
      <w:r>
        <w:rPr>
          <w:rFonts w:ascii="Palatino Linotype" w:hAnsi="Palatino Linotype" w:cs="Arial"/>
          <w:lang w:val="es-MX"/>
        </w:rPr>
        <w:lastRenderedPageBreak/>
        <w:t>“Padrón” contenía datos</w:t>
      </w:r>
      <w:r w:rsidR="00E25434">
        <w:rPr>
          <w:rFonts w:ascii="Palatino Linotype" w:hAnsi="Palatino Linotype" w:cs="Arial"/>
          <w:lang w:val="es-MX"/>
        </w:rPr>
        <w:t xml:space="preserve"> susceptibles de clasificarse como reservados, bajo el supuesto normativo previsto en el artículo 140, fracción I, de la Ley de Trasparencia y Acceso a la Información Pública del Estado de México y Municipios,   </w:t>
      </w:r>
      <w:r>
        <w:rPr>
          <w:rFonts w:ascii="Palatino Linotype" w:hAnsi="Palatino Linotype" w:cs="Arial"/>
          <w:lang w:val="es-MX"/>
        </w:rPr>
        <w:t xml:space="preserve">al </w:t>
      </w:r>
      <w:r w:rsidR="00F1541F">
        <w:rPr>
          <w:rFonts w:ascii="Palatino Linotype" w:hAnsi="Palatino Linotype" w:cs="Arial"/>
          <w:lang w:val="es-MX"/>
        </w:rPr>
        <w:t xml:space="preserve">contener </w:t>
      </w:r>
      <w:r>
        <w:rPr>
          <w:rFonts w:ascii="Palatino Linotype" w:hAnsi="Palatino Linotype" w:cs="Arial"/>
          <w:lang w:val="es-MX"/>
        </w:rPr>
        <w:t xml:space="preserve">los números de serie de los automóviles que integran el patrimonio del </w:t>
      </w:r>
      <w:r>
        <w:rPr>
          <w:rFonts w:ascii="Palatino Linotype" w:hAnsi="Palatino Linotype" w:cs="Arial"/>
          <w:b/>
          <w:lang w:val="es-MX"/>
        </w:rPr>
        <w:t>SUJETO OBLGADO</w:t>
      </w:r>
      <w:r>
        <w:rPr>
          <w:rFonts w:ascii="Palatino Linotype" w:hAnsi="Palatino Linotype" w:cs="Arial"/>
          <w:lang w:val="es-MX"/>
        </w:rPr>
        <w:t xml:space="preserve">, situación que </w:t>
      </w:r>
      <w:r w:rsidR="00F1541F">
        <w:rPr>
          <w:rFonts w:ascii="Palatino Linotype" w:hAnsi="Palatino Linotype" w:cs="Arial"/>
          <w:lang w:val="es-MX"/>
        </w:rPr>
        <w:t xml:space="preserve">no acompañamos. </w:t>
      </w:r>
    </w:p>
    <w:p w:rsidR="00677550" w:rsidRPr="00F1541F" w:rsidRDefault="00677550" w:rsidP="00F1541F">
      <w:pPr>
        <w:rPr>
          <w:rFonts w:ascii="Palatino Linotype" w:hAnsi="Palatino Linotype" w:cs="Arial"/>
        </w:rPr>
      </w:pPr>
    </w:p>
    <w:p w:rsidR="00677550" w:rsidRPr="00677550" w:rsidRDefault="00F1541F" w:rsidP="00EB3A07">
      <w:pPr>
        <w:pStyle w:val="Prrafodelista"/>
        <w:numPr>
          <w:ilvl w:val="0"/>
          <w:numId w:val="12"/>
        </w:numPr>
        <w:spacing w:line="360" w:lineRule="auto"/>
        <w:ind w:left="426"/>
        <w:jc w:val="both"/>
        <w:rPr>
          <w:rFonts w:ascii="Palatino Linotype" w:hAnsi="Palatino Linotype" w:cs="Arial"/>
        </w:rPr>
      </w:pPr>
      <w:r>
        <w:rPr>
          <w:rFonts w:ascii="Palatino Linotype" w:hAnsi="Palatino Linotype" w:cs="Arial"/>
        </w:rPr>
        <w:t xml:space="preserve"> Dicho de otra manera restringir el derecho de acceso a la información pública del particular negando el acceso al documento otorgado por el Sujeto Obligado, argumentando que el Número de Identificación Vehicular es un dato susceptible de clasificare como</w:t>
      </w:r>
      <w:r w:rsidR="00E25434">
        <w:rPr>
          <w:rFonts w:ascii="Palatino Linotype" w:hAnsi="Palatino Linotype" w:cs="Arial"/>
        </w:rPr>
        <w:t xml:space="preserve"> </w:t>
      </w:r>
      <w:r w:rsidR="00046063">
        <w:rPr>
          <w:rFonts w:ascii="Palatino Linotype" w:hAnsi="Palatino Linotype" w:cs="Arial"/>
        </w:rPr>
        <w:t>reservado,</w:t>
      </w:r>
      <w:r>
        <w:rPr>
          <w:rFonts w:ascii="Palatino Linotype" w:hAnsi="Palatino Linotype" w:cs="Arial"/>
        </w:rPr>
        <w:t xml:space="preserve"> debilita la efectividad de esta garantía que otorga el multicitado derecho. </w:t>
      </w:r>
    </w:p>
    <w:p w:rsidR="00677550" w:rsidRPr="00677550" w:rsidRDefault="00F1541F" w:rsidP="00677550">
      <w:pPr>
        <w:pStyle w:val="Prrafodelista"/>
        <w:rPr>
          <w:rFonts w:ascii="Palatino Linotype" w:hAnsi="Palatino Linotype" w:cs="Arial"/>
          <w:lang w:val="es-MX"/>
        </w:rPr>
      </w:pPr>
      <w:r>
        <w:rPr>
          <w:rFonts w:ascii="Palatino Linotype" w:hAnsi="Palatino Linotype" w:cs="Arial"/>
          <w:lang w:val="es-MX"/>
        </w:rPr>
        <w:t xml:space="preserve"> </w:t>
      </w:r>
    </w:p>
    <w:p w:rsidR="000C2F9E" w:rsidRDefault="00677550" w:rsidP="000C2F9E">
      <w:pPr>
        <w:pStyle w:val="Prrafodelista"/>
        <w:numPr>
          <w:ilvl w:val="0"/>
          <w:numId w:val="12"/>
        </w:numPr>
        <w:spacing w:line="360" w:lineRule="auto"/>
        <w:ind w:left="426"/>
        <w:jc w:val="both"/>
        <w:rPr>
          <w:rFonts w:ascii="Palatino Linotype" w:hAnsi="Palatino Linotype" w:cs="Arial"/>
          <w:lang w:val="es-MX"/>
        </w:rPr>
      </w:pPr>
      <w:r w:rsidRPr="00B73E87">
        <w:rPr>
          <w:rFonts w:ascii="Palatino Linotype" w:hAnsi="Palatino Linotype" w:cs="Arial"/>
          <w:lang w:val="es-MX"/>
        </w:rPr>
        <w:t xml:space="preserve">   </w:t>
      </w:r>
      <w:r w:rsidR="00EB52F8">
        <w:rPr>
          <w:rFonts w:ascii="Palatino Linotype" w:hAnsi="Palatino Linotype" w:cs="Arial"/>
          <w:lang w:val="es-MX"/>
        </w:rPr>
        <w:t xml:space="preserve">En efecto, </w:t>
      </w:r>
      <w:r w:rsidR="000C2F9E">
        <w:rPr>
          <w:rFonts w:ascii="Palatino Linotype" w:hAnsi="Palatino Linotype" w:cs="Arial"/>
          <w:lang w:val="es-MX"/>
        </w:rPr>
        <w:t xml:space="preserve">el Derecho de Acceso a la Información </w:t>
      </w:r>
      <w:r w:rsidR="000C2F9E" w:rsidRPr="000C2F9E">
        <w:rPr>
          <w:rFonts w:ascii="Palatino Linotype" w:hAnsi="Palatino Linotype" w:cs="Arial"/>
          <w:lang w:val="es-MX"/>
        </w:rPr>
        <w:t xml:space="preserve">es la </w:t>
      </w:r>
      <w:r w:rsidR="000C2F9E" w:rsidRPr="000C2F9E">
        <w:rPr>
          <w:rFonts w:ascii="Palatino Linotype" w:hAnsi="Palatino Linotype" w:cs="Arial"/>
          <w:i/>
          <w:lang w:val="es-MX"/>
        </w:rPr>
        <w:t>igualdad de oportunidades para recibir, buscar e impartir información</w:t>
      </w:r>
      <w:r w:rsidR="000C2F9E" w:rsidRPr="000C2F9E">
        <w:rPr>
          <w:rFonts w:ascii="Palatino Linotype" w:hAnsi="Palatino Linotype" w:cs="Arial"/>
          <w:i/>
          <w:vertAlign w:val="superscript"/>
          <w:lang w:val="es-MX"/>
        </w:rPr>
        <w:footnoteReference w:id="1"/>
      </w:r>
      <w:r w:rsidR="000C2F9E" w:rsidRPr="000C2F9E">
        <w:rPr>
          <w:rFonts w:ascii="Palatino Linotype" w:hAnsi="Palatino Linotype" w:cs="Arial"/>
          <w:i/>
          <w:lang w:val="es-MX"/>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0C2F9E" w:rsidRPr="000C2F9E">
        <w:rPr>
          <w:rFonts w:ascii="Palatino Linotype" w:hAnsi="Palatino Linotype" w:cs="Arial"/>
          <w:vertAlign w:val="superscript"/>
          <w:lang w:val="es-MX"/>
        </w:rPr>
        <w:footnoteReference w:id="2"/>
      </w:r>
      <w:r w:rsidR="000C2F9E" w:rsidRPr="000C2F9E">
        <w:rPr>
          <w:rFonts w:ascii="Palatino Linotype" w:hAnsi="Palatino Linotype" w:cs="Arial"/>
          <w:i/>
          <w:lang w:val="es-MX"/>
        </w:rPr>
        <w:t xml:space="preserve"> </w:t>
      </w:r>
      <w:r w:rsidR="000C2F9E" w:rsidRPr="000C2F9E">
        <w:rPr>
          <w:rFonts w:ascii="Palatino Linotype" w:hAnsi="Palatino Linotype" w:cs="Arial"/>
          <w:lang w:val="es-MX"/>
        </w:rPr>
        <w:t xml:space="preserve">que se constituye como una herramienta fundamental para </w:t>
      </w:r>
      <w:r w:rsidR="000C2F9E" w:rsidRPr="000C2F9E">
        <w:rPr>
          <w:rFonts w:ascii="Palatino Linotype" w:hAnsi="Palatino Linotype" w:cs="Arial"/>
          <w:i/>
          <w:lang w:val="es-MX"/>
        </w:rPr>
        <w:t xml:space="preserve">ejercer control democrático de las gestiones estatales, de forma tal que puedan cuestionar, indagar y considerar si se está dando un adecuado cumplimiento de </w:t>
      </w:r>
      <w:r w:rsidR="000C2F9E" w:rsidRPr="000C2F9E">
        <w:rPr>
          <w:rFonts w:ascii="Palatino Linotype" w:hAnsi="Palatino Linotype" w:cs="Arial"/>
          <w:i/>
          <w:lang w:val="es-MX"/>
        </w:rPr>
        <w:lastRenderedPageBreak/>
        <w:t>las funciones públicas,</w:t>
      </w:r>
      <w:r w:rsidR="000C2F9E" w:rsidRPr="000C2F9E">
        <w:rPr>
          <w:rFonts w:ascii="Palatino Linotype" w:hAnsi="Palatino Linotype" w:cs="Arial"/>
          <w:i/>
          <w:vertAlign w:val="superscript"/>
          <w:lang w:val="es-MX"/>
        </w:rPr>
        <w:footnoteReference w:id="3"/>
      </w:r>
      <w:r w:rsidR="000C2F9E" w:rsidRPr="000C2F9E">
        <w:rPr>
          <w:rFonts w:ascii="Palatino Linotype" w:hAnsi="Palatino Linotype" w:cs="Arial"/>
          <w:lang w:val="es-MX"/>
        </w:rPr>
        <w:t>fomentando</w:t>
      </w:r>
      <w:r w:rsidR="000C2F9E" w:rsidRPr="000C2F9E">
        <w:rPr>
          <w:rFonts w:ascii="Palatino Linotype" w:hAnsi="Palatino Linotype" w:cs="Arial"/>
          <w:i/>
          <w:lang w:val="es-MX"/>
        </w:rPr>
        <w:t xml:space="preserve"> la transparencia de las actividades estatales y</w:t>
      </w:r>
      <w:r w:rsidR="000C2F9E" w:rsidRPr="000C2F9E">
        <w:rPr>
          <w:rFonts w:ascii="Palatino Linotype" w:hAnsi="Palatino Linotype" w:cs="Arial"/>
          <w:lang w:val="es-MX"/>
        </w:rPr>
        <w:t xml:space="preserve"> promoviendo</w:t>
      </w:r>
      <w:r w:rsidR="000C2F9E" w:rsidRPr="000C2F9E">
        <w:rPr>
          <w:rFonts w:ascii="Palatino Linotype" w:hAnsi="Palatino Linotype" w:cs="Arial"/>
          <w:i/>
          <w:lang w:val="es-MX"/>
        </w:rPr>
        <w:t xml:space="preserve"> la responsabilidad de los funcionarios sobre su gestión pública</w:t>
      </w:r>
      <w:r w:rsidR="000C2F9E" w:rsidRPr="000C2F9E">
        <w:rPr>
          <w:rFonts w:ascii="Palatino Linotype" w:hAnsi="Palatino Linotype" w:cs="Arial"/>
          <w:i/>
          <w:vertAlign w:val="superscript"/>
          <w:lang w:val="es-MX"/>
        </w:rPr>
        <w:footnoteReference w:id="4"/>
      </w:r>
      <w:r w:rsidR="000C2F9E" w:rsidRPr="000C2F9E">
        <w:rPr>
          <w:rFonts w:ascii="Palatino Linotype" w:hAnsi="Palatino Linotype" w:cs="Arial"/>
          <w:i/>
          <w:lang w:val="es-MX"/>
        </w:rPr>
        <w:t xml:space="preserve"> </w:t>
      </w:r>
      <w:r w:rsidR="000C2F9E" w:rsidRPr="000C2F9E">
        <w:rPr>
          <w:rFonts w:ascii="Palatino Linotype" w:hAnsi="Palatino Linotype" w:cs="Arial"/>
          <w:lang w:val="es-MX"/>
        </w:rPr>
        <w:t>que permite</w:t>
      </w:r>
      <w:r w:rsidR="000C2F9E" w:rsidRPr="000C2F9E">
        <w:rPr>
          <w:rFonts w:ascii="Palatino Linotype" w:hAnsi="Palatino Linotype" w:cs="Arial"/>
          <w:i/>
          <w:lang w:val="es-MX"/>
        </w:rPr>
        <w:t xml:space="preserve"> saber qué están haciendo los gobiernos por sus pueblos, sin lo cual la verdad languidecería y la participación en el gobierno permanecería fragmentada.</w:t>
      </w:r>
      <w:r w:rsidR="000C2F9E" w:rsidRPr="000C2F9E">
        <w:rPr>
          <w:rFonts w:ascii="Palatino Linotype" w:hAnsi="Palatino Linotype" w:cs="Arial"/>
          <w:i/>
          <w:vertAlign w:val="superscript"/>
          <w:lang w:val="es-MX"/>
        </w:rPr>
        <w:footnoteReference w:id="5"/>
      </w:r>
      <w:r w:rsidR="000C2F9E" w:rsidRPr="000C2F9E">
        <w:rPr>
          <w:rFonts w:ascii="Palatino Linotype" w:hAnsi="Palatino Linotype" w:cs="Arial"/>
          <w:lang w:val="es-MX"/>
        </w:rPr>
        <w:t xml:space="preserve"> ”.</w:t>
      </w:r>
    </w:p>
    <w:p w:rsidR="000C2F9E" w:rsidRPr="000C2F9E" w:rsidRDefault="000C2F9E" w:rsidP="000C2F9E">
      <w:pPr>
        <w:pStyle w:val="Prrafodelista"/>
        <w:rPr>
          <w:rFonts w:ascii="Palatino Linotype" w:hAnsi="Palatino Linotype" w:cs="Arial"/>
          <w:color w:val="000000" w:themeColor="text1"/>
        </w:rPr>
      </w:pPr>
    </w:p>
    <w:p w:rsidR="000C2F9E" w:rsidRPr="000C2F9E" w:rsidRDefault="000C2F9E" w:rsidP="000C2F9E">
      <w:pPr>
        <w:pStyle w:val="Prrafodelista"/>
        <w:numPr>
          <w:ilvl w:val="0"/>
          <w:numId w:val="12"/>
        </w:numPr>
        <w:spacing w:line="360" w:lineRule="auto"/>
        <w:ind w:left="426"/>
        <w:jc w:val="both"/>
        <w:rPr>
          <w:rFonts w:ascii="Palatino Linotype" w:hAnsi="Palatino Linotype" w:cs="Arial"/>
          <w:lang w:val="es-MX"/>
        </w:rPr>
      </w:pPr>
      <w:r>
        <w:rPr>
          <w:rFonts w:ascii="Palatino Linotype" w:hAnsi="Palatino Linotype" w:cs="Arial"/>
          <w:color w:val="000000" w:themeColor="text1"/>
        </w:rPr>
        <w:t xml:space="preserve">En ese tenor </w:t>
      </w:r>
      <w:r>
        <w:rPr>
          <w:rFonts w:ascii="Palatino Linotype" w:hAnsi="Palatino Linotype" w:cs="Arial"/>
          <w:b/>
          <w:color w:val="000000" w:themeColor="text1"/>
        </w:rPr>
        <w:t>el</w:t>
      </w:r>
      <w:r w:rsidRPr="000C2F9E">
        <w:rPr>
          <w:rFonts w:ascii="Palatino Linotype" w:hAnsi="Palatino Linotype" w:cs="Arial"/>
          <w:b/>
          <w:color w:val="000000" w:themeColor="text1"/>
        </w:rPr>
        <w:t xml:space="preserve"> particular</w:t>
      </w:r>
      <w:r w:rsidRPr="000C2F9E">
        <w:rPr>
          <w:rFonts w:ascii="Palatino Linotype" w:hAnsi="Palatino Linotype" w:cs="Arial"/>
          <w:color w:val="000000" w:themeColor="text1"/>
        </w:rPr>
        <w:t xml:space="preserve">, presentó la solicitud de acceso a la información pública ante el Sujeto Obligado, </w:t>
      </w:r>
      <w:r w:rsidR="00EB52F8">
        <w:rPr>
          <w:rFonts w:ascii="Palatino Linotype" w:hAnsi="Palatino Linotype" w:cs="Arial"/>
          <w:color w:val="000000" w:themeColor="text1"/>
        </w:rPr>
        <w:t xml:space="preserve">ejerciendo </w:t>
      </w:r>
      <w:r w:rsidRPr="000C2F9E">
        <w:rPr>
          <w:rFonts w:ascii="Palatino Linotype" w:hAnsi="Palatino Linotype" w:cs="Arial"/>
          <w:color w:val="000000" w:themeColor="text1"/>
        </w:rPr>
        <w:t xml:space="preserve">el derecho en cuestión a través de su garantía primaria depositada en la autoridad quien, por mandato categórico del tercer párrafo del artículo primero de la Constitución Federal, se encuentra obligado, como todas las demás autoridades, en el ámbito de su competencia, a </w:t>
      </w:r>
      <w:r w:rsidRPr="000C2F9E">
        <w:rPr>
          <w:rFonts w:ascii="Palatino Linotype" w:hAnsi="Palatino Linotype" w:cs="Arial"/>
          <w:b/>
          <w:color w:val="000000" w:themeColor="text1"/>
        </w:rPr>
        <w:t>“promover, respetar, proteger y garantizar los derechos humanos</w:t>
      </w:r>
      <w:r w:rsidRPr="000C2F9E">
        <w:rPr>
          <w:rFonts w:ascii="Palatino Linotype" w:hAnsi="Palatino Linotype" w:cs="Arial"/>
          <w:color w:val="000000" w:themeColor="text1"/>
        </w:rPr>
        <w:t>”, entre los cuales se encuentra el de acceso a la información.</w:t>
      </w:r>
    </w:p>
    <w:p w:rsidR="000C2F9E" w:rsidRPr="000C2F9E" w:rsidRDefault="000C2F9E" w:rsidP="000C2F9E">
      <w:pPr>
        <w:pStyle w:val="Prrafodelista"/>
        <w:rPr>
          <w:rFonts w:ascii="Palatino Linotype" w:hAnsi="Palatino Linotype" w:cs="Arial"/>
          <w:color w:val="000000" w:themeColor="text1"/>
        </w:rPr>
      </w:pPr>
    </w:p>
    <w:p w:rsidR="000C2F9E" w:rsidRPr="0067486B" w:rsidRDefault="000C2F9E" w:rsidP="0067486B">
      <w:pPr>
        <w:pStyle w:val="Prrafodelista"/>
        <w:numPr>
          <w:ilvl w:val="0"/>
          <w:numId w:val="12"/>
        </w:numPr>
        <w:spacing w:line="360" w:lineRule="auto"/>
        <w:ind w:left="426"/>
        <w:jc w:val="both"/>
        <w:rPr>
          <w:rFonts w:ascii="Palatino Linotype" w:hAnsi="Palatino Linotype" w:cs="Arial"/>
          <w:lang w:val="es-MX"/>
        </w:rPr>
      </w:pPr>
      <w:r w:rsidRPr="00264111">
        <w:rPr>
          <w:rFonts w:ascii="Palatino Linotype" w:hAnsi="Palatino Linotype" w:cs="Arial"/>
          <w:color w:val="000000" w:themeColor="text1"/>
        </w:rPr>
        <w:t xml:space="preserve">En ese sentido la garantía primaria, en la que se constituye la solicitud de acceso a la información pública, impone a las autoridades la obligación de atender la solicitud en los términos requeridos, obviamente, como el resto de los derechos, ninguno es absoluto y es posible limitarlos y restringirlos, siguiendo el </w:t>
      </w:r>
      <w:r w:rsidRPr="00264111">
        <w:rPr>
          <w:rFonts w:ascii="Palatino Linotype" w:hAnsi="Palatino Linotype" w:cs="Arial"/>
          <w:color w:val="000000" w:themeColor="text1"/>
        </w:rPr>
        <w:lastRenderedPageBreak/>
        <w:t>procedimiento que para tal efecto se encuentra establecido, sin embargo, en el caso que se resuelve, no</w:t>
      </w:r>
      <w:r w:rsidR="00264111" w:rsidRPr="00264111">
        <w:rPr>
          <w:rFonts w:ascii="Palatino Linotype" w:hAnsi="Palatino Linotype" w:cs="Arial"/>
          <w:color w:val="000000" w:themeColor="text1"/>
        </w:rPr>
        <w:t xml:space="preserve"> se acredito por la Ponencia </w:t>
      </w:r>
      <w:proofErr w:type="spellStart"/>
      <w:r w:rsidR="00264111" w:rsidRPr="00264111">
        <w:rPr>
          <w:rFonts w:ascii="Palatino Linotype" w:hAnsi="Palatino Linotype" w:cs="Arial"/>
          <w:color w:val="000000" w:themeColor="text1"/>
        </w:rPr>
        <w:t>Resolutora</w:t>
      </w:r>
      <w:proofErr w:type="spellEnd"/>
      <w:r w:rsidR="00264111" w:rsidRPr="00264111">
        <w:rPr>
          <w:rFonts w:ascii="Palatino Linotype" w:hAnsi="Palatino Linotype" w:cs="Arial"/>
          <w:color w:val="000000" w:themeColor="text1"/>
        </w:rPr>
        <w:t xml:space="preserve"> que el número de serie o de motor, actualiza el supuesto de clasificación invocado, con el desarrollo de la respectiva prueba de daño y, por el contrario, los suscritos consideran que el número de serie que se asigna de manera única e individual a cada vehículo es información pública, cuando se trata de unidades que pertenecen al parque vehicular de los sujetos obligados, ya que este y el número de placa son datos que identifican plenamente a cada unidad y en consecuencia, permiten trasparentar su compra, asignación, reguardo y cuidado respectivo.    </w:t>
      </w:r>
      <w:r w:rsidRPr="00264111">
        <w:rPr>
          <w:rFonts w:ascii="Palatino Linotype" w:hAnsi="Palatino Linotype" w:cs="Arial"/>
          <w:color w:val="000000" w:themeColor="text1"/>
        </w:rPr>
        <w:t xml:space="preserve"> </w:t>
      </w:r>
    </w:p>
    <w:p w:rsidR="0067486B" w:rsidRPr="0067486B" w:rsidRDefault="0067486B" w:rsidP="0067486B">
      <w:pPr>
        <w:spacing w:line="360" w:lineRule="auto"/>
        <w:jc w:val="both"/>
        <w:rPr>
          <w:rFonts w:ascii="Palatino Linotype" w:hAnsi="Palatino Linotype" w:cs="Arial"/>
        </w:rPr>
      </w:pPr>
    </w:p>
    <w:p w:rsidR="00F72582" w:rsidRDefault="000C2F9E" w:rsidP="00F72582">
      <w:pPr>
        <w:numPr>
          <w:ilvl w:val="0"/>
          <w:numId w:val="12"/>
        </w:numPr>
        <w:spacing w:before="240" w:after="240" w:line="360" w:lineRule="auto"/>
        <w:ind w:left="426"/>
        <w:contextualSpacing/>
        <w:jc w:val="both"/>
        <w:rPr>
          <w:rFonts w:ascii="Palatino Linotype" w:eastAsia="MS Mincho" w:hAnsi="Palatino Linotype" w:cs="Times New Roman"/>
          <w:i/>
          <w:color w:val="000000"/>
          <w:sz w:val="24"/>
          <w:szCs w:val="24"/>
          <w:lang w:val="es-ES" w:eastAsia="es-ES"/>
        </w:rPr>
      </w:pPr>
      <w:r>
        <w:rPr>
          <w:rFonts w:ascii="Palatino Linotype" w:eastAsia="MS Mincho" w:hAnsi="Palatino Linotype" w:cs="Times New Roman"/>
          <w:color w:val="000000"/>
          <w:sz w:val="24"/>
          <w:szCs w:val="24"/>
          <w:lang w:val="es-ES_tradnl" w:eastAsia="es-ES"/>
        </w:rPr>
        <w:t xml:space="preserve">En ese sentido la ponencia refiere </w:t>
      </w:r>
      <w:r w:rsidR="00F72582">
        <w:rPr>
          <w:rFonts w:ascii="Palatino Linotype" w:eastAsia="MS Mincho" w:hAnsi="Palatino Linotype" w:cs="Times New Roman"/>
          <w:color w:val="000000"/>
          <w:sz w:val="24"/>
          <w:szCs w:val="24"/>
          <w:lang w:val="es-ES_tradnl" w:eastAsia="es-ES"/>
        </w:rPr>
        <w:t>que el número de serie, “</w:t>
      </w:r>
      <w:r w:rsidR="00F72582" w:rsidRPr="00F72582">
        <w:rPr>
          <w:rFonts w:ascii="Palatino Linotype" w:eastAsia="MS Mincho" w:hAnsi="Palatino Linotype" w:cs="Times New Roman"/>
          <w:i/>
          <w:color w:val="000000"/>
          <w:sz w:val="24"/>
          <w:szCs w:val="24"/>
          <w:lang w:val="es-ES" w:eastAsia="es-ES"/>
        </w:rPr>
        <w:t>mismo que se entiende como el Número de Identificación Vehicular único, será asignado por el fabricante o ensamblador, mismo que debe grabarse directamente sobre una pieza estructural sólida del vehículo, que puede ser el chasis o en caso de remolques, semirremolques y convertidores, en una pieza inamovible o difícilmente reemplazable de la carrocería o en una placa metálica o etiqueta que no pueda removerse sin ser destruida, a través de procedimientos que garanticen la permanencia del NIV durante la vida útil del vehículo b</w:t>
      </w:r>
      <w:r w:rsidR="00F72582">
        <w:rPr>
          <w:rFonts w:ascii="Palatino Linotype" w:eastAsia="MS Mincho" w:hAnsi="Palatino Linotype" w:cs="Times New Roman"/>
          <w:i/>
          <w:color w:val="000000"/>
          <w:sz w:val="24"/>
          <w:szCs w:val="24"/>
          <w:lang w:val="es-ES" w:eastAsia="es-ES"/>
        </w:rPr>
        <w:t xml:space="preserve">ajo condiciones normales de uso. </w:t>
      </w:r>
      <w:r w:rsidR="00F72582" w:rsidRPr="00F72582">
        <w:rPr>
          <w:rFonts w:ascii="Palatino Linotype" w:eastAsia="MS Mincho" w:hAnsi="Palatino Linotype" w:cs="Times New Roman"/>
          <w:i/>
          <w:color w:val="000000"/>
          <w:sz w:val="24"/>
          <w:szCs w:val="24"/>
          <w:lang w:val="es-ES" w:eastAsia="es-ES"/>
        </w:rPr>
        <w:t>Es decir, se trata de un dato que resume las características propias de cada vehículo, diferente en cada uno, o sea, único y que si bien debe ser colocado en una parte visible del vehículo, no es fácil de percibir como sucede por ejemplo con el número de placas”</w:t>
      </w:r>
    </w:p>
    <w:p w:rsidR="000C2F9E" w:rsidRDefault="0067486B" w:rsidP="00F72582">
      <w:p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Pr>
          <w:noProof/>
          <w:lang w:eastAsia="es-MX"/>
        </w:rPr>
        <w:lastRenderedPageBreak/>
        <w:drawing>
          <wp:inline distT="0" distB="0" distL="0" distR="0" wp14:anchorId="3CAB0D8E" wp14:editId="0933D45C">
            <wp:extent cx="5501978" cy="18161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689" t="4182" r="14426" b="55396"/>
                    <a:stretch/>
                  </pic:blipFill>
                  <pic:spPr bwMode="auto">
                    <a:xfrm>
                      <a:off x="0" y="0"/>
                      <a:ext cx="5509714" cy="1818654"/>
                    </a:xfrm>
                    <a:prstGeom prst="rect">
                      <a:avLst/>
                    </a:prstGeom>
                    <a:ln>
                      <a:noFill/>
                    </a:ln>
                    <a:extLst>
                      <a:ext uri="{53640926-AAD7-44D8-BBD7-CCE9431645EC}">
                        <a14:shadowObscured xmlns:a14="http://schemas.microsoft.com/office/drawing/2010/main"/>
                      </a:ext>
                    </a:extLst>
                  </pic:spPr>
                </pic:pic>
              </a:graphicData>
            </a:graphic>
          </wp:inline>
        </w:drawing>
      </w:r>
      <w:r>
        <w:rPr>
          <w:rStyle w:val="Refdenotaalpie"/>
          <w:rFonts w:ascii="Palatino Linotype" w:eastAsia="MS Mincho" w:hAnsi="Palatino Linotype" w:cs="Times New Roman"/>
          <w:color w:val="000000"/>
          <w:sz w:val="24"/>
          <w:szCs w:val="24"/>
          <w:lang w:val="es-ES_tradnl" w:eastAsia="es-ES"/>
        </w:rPr>
        <w:footnoteReference w:id="6"/>
      </w:r>
    </w:p>
    <w:p w:rsidR="0067486B" w:rsidRPr="000C2F9E" w:rsidRDefault="0067486B" w:rsidP="00F72582">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9E0EEB" w:rsidRDefault="00F72582" w:rsidP="00F72582">
      <w:pPr>
        <w:numPr>
          <w:ilvl w:val="0"/>
          <w:numId w:val="12"/>
        </w:num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color w:val="000000"/>
          <w:sz w:val="24"/>
          <w:szCs w:val="24"/>
          <w:lang w:val="es-ES_tradnl" w:eastAsia="es-ES"/>
        </w:rPr>
        <w:t xml:space="preserve">Bajo ese contexto es que no acompañamos la tesitura de la ponencia </w:t>
      </w:r>
      <w:proofErr w:type="spellStart"/>
      <w:r>
        <w:rPr>
          <w:rFonts w:ascii="Palatino Linotype" w:eastAsia="MS Mincho" w:hAnsi="Palatino Linotype" w:cs="Times New Roman"/>
          <w:color w:val="000000"/>
          <w:sz w:val="24"/>
          <w:szCs w:val="24"/>
          <w:lang w:val="es-ES_tradnl" w:eastAsia="es-ES"/>
        </w:rPr>
        <w:t>resolutora</w:t>
      </w:r>
      <w:proofErr w:type="spellEnd"/>
      <w:r>
        <w:rPr>
          <w:rFonts w:ascii="Palatino Linotype" w:eastAsia="MS Mincho" w:hAnsi="Palatino Linotype" w:cs="Times New Roman"/>
          <w:color w:val="000000"/>
          <w:sz w:val="24"/>
          <w:szCs w:val="24"/>
          <w:lang w:val="es-ES_tradnl" w:eastAsia="es-ES"/>
        </w:rPr>
        <w:t xml:space="preserve"> pues como se refiere el </w:t>
      </w:r>
      <w:r w:rsidR="0067486B">
        <w:rPr>
          <w:rFonts w:ascii="Palatino Linotype" w:eastAsia="MS Mincho" w:hAnsi="Palatino Linotype" w:cs="Times New Roman"/>
          <w:color w:val="000000"/>
          <w:sz w:val="24"/>
          <w:szCs w:val="24"/>
          <w:lang w:val="es-ES_tradnl" w:eastAsia="es-ES"/>
        </w:rPr>
        <w:t>Número</w:t>
      </w:r>
      <w:r>
        <w:rPr>
          <w:rFonts w:ascii="Palatino Linotype" w:eastAsia="MS Mincho" w:hAnsi="Palatino Linotype" w:cs="Times New Roman"/>
          <w:color w:val="000000"/>
          <w:sz w:val="24"/>
          <w:szCs w:val="24"/>
          <w:lang w:val="es-ES_tradnl" w:eastAsia="es-ES"/>
        </w:rPr>
        <w:t xml:space="preserve"> de Identificación Vehicular </w:t>
      </w:r>
      <w:r w:rsidR="0067486B">
        <w:rPr>
          <w:rFonts w:ascii="Palatino Linotype" w:eastAsia="MS Mincho" w:hAnsi="Palatino Linotype" w:cs="Times New Roman"/>
          <w:color w:val="000000"/>
          <w:sz w:val="24"/>
          <w:szCs w:val="24"/>
          <w:lang w:val="es-ES_tradnl" w:eastAsia="es-ES"/>
        </w:rPr>
        <w:t xml:space="preserve">se encuentra </w:t>
      </w:r>
      <w:r>
        <w:rPr>
          <w:rFonts w:ascii="Palatino Linotype" w:eastAsia="MS Mincho" w:hAnsi="Palatino Linotype" w:cs="Times New Roman"/>
          <w:color w:val="000000"/>
          <w:sz w:val="24"/>
          <w:szCs w:val="24"/>
          <w:lang w:val="es-ES_tradnl" w:eastAsia="es-ES"/>
        </w:rPr>
        <w:t>visible</w:t>
      </w:r>
      <w:r w:rsidR="00046063">
        <w:rPr>
          <w:rFonts w:ascii="Palatino Linotype" w:eastAsia="MS Mincho" w:hAnsi="Palatino Linotype" w:cs="Times New Roman"/>
          <w:color w:val="000000"/>
          <w:sz w:val="24"/>
          <w:szCs w:val="24"/>
          <w:lang w:val="es-ES_tradnl" w:eastAsia="es-ES"/>
        </w:rPr>
        <w:t xml:space="preserve"> en la carrocería del automóvil para vehículos que son adquiridos con recursos públicos, </w:t>
      </w:r>
      <w:r>
        <w:rPr>
          <w:rFonts w:ascii="Palatino Linotype" w:eastAsia="MS Mincho" w:hAnsi="Palatino Linotype" w:cs="Times New Roman"/>
          <w:color w:val="000000"/>
          <w:sz w:val="24"/>
          <w:szCs w:val="24"/>
          <w:lang w:val="es-ES_tradnl" w:eastAsia="es-ES"/>
        </w:rPr>
        <w:t>además de que se puede obtene</w:t>
      </w:r>
      <w:r w:rsidR="009E0EEB">
        <w:rPr>
          <w:rFonts w:ascii="Palatino Linotype" w:eastAsia="MS Mincho" w:hAnsi="Palatino Linotype" w:cs="Times New Roman"/>
          <w:color w:val="000000"/>
          <w:sz w:val="24"/>
          <w:szCs w:val="24"/>
          <w:lang w:val="es-ES_tradnl" w:eastAsia="es-ES"/>
        </w:rPr>
        <w:t>r mediante el número de placas.</w:t>
      </w:r>
    </w:p>
    <w:p w:rsidR="009E0EEB" w:rsidRDefault="009E0EEB" w:rsidP="009E0EEB">
      <w:p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p>
    <w:p w:rsidR="000C2F9E" w:rsidRPr="000C2F9E" w:rsidRDefault="009E0EEB" w:rsidP="00F72582">
      <w:pPr>
        <w:numPr>
          <w:ilvl w:val="0"/>
          <w:numId w:val="12"/>
        </w:num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color w:val="000000"/>
          <w:sz w:val="24"/>
          <w:szCs w:val="24"/>
          <w:lang w:val="es-ES_tradnl" w:eastAsia="es-ES"/>
        </w:rPr>
        <w:t xml:space="preserve">En efecto, como se muestra a continuación, para obtener información del  </w:t>
      </w:r>
      <w:r w:rsidR="000C2F9E" w:rsidRPr="000C2F9E">
        <w:rPr>
          <w:rFonts w:ascii="Palatino Linotype" w:eastAsia="MS Mincho" w:hAnsi="Palatino Linotype" w:cs="Times New Roman"/>
          <w:color w:val="000000"/>
          <w:sz w:val="24"/>
          <w:szCs w:val="24"/>
          <w:lang w:val="es-ES_tradnl" w:eastAsia="es-ES"/>
        </w:rPr>
        <w:t>Registro Público Vehicular</w:t>
      </w:r>
      <w:r>
        <w:rPr>
          <w:rFonts w:ascii="Palatino Linotype" w:eastAsia="MS Mincho" w:hAnsi="Palatino Linotype" w:cs="Times New Roman"/>
          <w:color w:val="000000"/>
          <w:sz w:val="24"/>
          <w:szCs w:val="24"/>
          <w:lang w:val="es-ES_tradnl" w:eastAsia="es-ES"/>
        </w:rPr>
        <w:t xml:space="preserve"> (REPUVE), basta con el número de placas, lo anterior puesto que dicho registro, corresponde a un </w:t>
      </w:r>
      <w:r w:rsidR="000C2F9E" w:rsidRPr="000C2F9E">
        <w:rPr>
          <w:rFonts w:ascii="Palatino Linotype" w:eastAsia="MS Mincho" w:hAnsi="Palatino Linotype" w:cs="Times New Roman"/>
          <w:color w:val="000000"/>
          <w:sz w:val="24"/>
          <w:szCs w:val="24"/>
          <w:lang w:val="es-ES_tradnl" w:eastAsia="es-ES"/>
        </w:rPr>
        <w:t xml:space="preserve">sistema asentado en una base de datos, que contiene el registro de información a nivel nacional </w:t>
      </w:r>
      <w:r>
        <w:rPr>
          <w:rFonts w:ascii="Palatino Linotype" w:eastAsia="MS Mincho" w:hAnsi="Palatino Linotype" w:cs="Times New Roman"/>
          <w:color w:val="000000"/>
          <w:sz w:val="24"/>
          <w:szCs w:val="24"/>
          <w:lang w:val="es-ES_tradnl" w:eastAsia="es-ES"/>
        </w:rPr>
        <w:t xml:space="preserve">cuyo </w:t>
      </w:r>
      <w:r w:rsidR="000C2F9E" w:rsidRPr="000C2F9E">
        <w:rPr>
          <w:rFonts w:ascii="Palatino Linotype" w:eastAsia="MS Mincho" w:hAnsi="Palatino Linotype" w:cs="Times New Roman"/>
          <w:color w:val="000000"/>
          <w:sz w:val="24"/>
          <w:szCs w:val="24"/>
          <w:lang w:val="es-ES_tradnl" w:eastAsia="es-ES"/>
        </w:rPr>
        <w:t xml:space="preserve">propósito </w:t>
      </w:r>
      <w:r>
        <w:rPr>
          <w:rFonts w:ascii="Palatino Linotype" w:eastAsia="MS Mincho" w:hAnsi="Palatino Linotype" w:cs="Times New Roman"/>
          <w:color w:val="000000"/>
          <w:sz w:val="24"/>
          <w:szCs w:val="24"/>
          <w:lang w:val="es-ES_tradnl" w:eastAsia="es-ES"/>
        </w:rPr>
        <w:t xml:space="preserve">es </w:t>
      </w:r>
      <w:r w:rsidR="000C2F9E" w:rsidRPr="000C2F9E">
        <w:rPr>
          <w:rFonts w:ascii="Palatino Linotype" w:eastAsia="MS Mincho" w:hAnsi="Palatino Linotype" w:cs="Times New Roman"/>
          <w:color w:val="000000"/>
          <w:sz w:val="24"/>
          <w:szCs w:val="24"/>
          <w:lang w:val="es-ES_tradnl" w:eastAsia="es-ES"/>
        </w:rPr>
        <w:t>otorgar seguridad pública y jurídica a los actos que se realicen con vehículos que circulen en territorio nacional, mediante la identificación y control vehicular; además de brindar servicios de información al público.</w:t>
      </w:r>
    </w:p>
    <w:p w:rsidR="000C2F9E" w:rsidRPr="000C2F9E" w:rsidRDefault="000C2F9E" w:rsidP="000C2F9E">
      <w:pPr>
        <w:spacing w:after="0" w:line="240" w:lineRule="auto"/>
        <w:ind w:left="720"/>
        <w:contextualSpacing/>
        <w:rPr>
          <w:rFonts w:ascii="Palatino Linotype" w:eastAsia="MS Mincho" w:hAnsi="Palatino Linotype" w:cs="Times New Roman"/>
          <w:color w:val="000000"/>
          <w:sz w:val="24"/>
          <w:szCs w:val="24"/>
          <w:lang w:val="es-ES_tradnl" w:eastAsia="es-ES"/>
        </w:rPr>
      </w:pPr>
    </w:p>
    <w:p w:rsidR="000C2F9E" w:rsidRDefault="000C2F9E" w:rsidP="000C2F9E">
      <w:pPr>
        <w:numPr>
          <w:ilvl w:val="0"/>
          <w:numId w:val="12"/>
        </w:num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r w:rsidRPr="000C2F9E">
        <w:rPr>
          <w:rFonts w:ascii="Palatino Linotype" w:eastAsia="MS Mincho" w:hAnsi="Palatino Linotype" w:cs="Times New Roman"/>
          <w:color w:val="000000"/>
          <w:sz w:val="24"/>
          <w:szCs w:val="24"/>
          <w:lang w:val="es-ES_tradnl" w:eastAsia="es-ES"/>
        </w:rPr>
        <w:lastRenderedPageBreak/>
        <w:t xml:space="preserve">Para que dicho sistema arroje resultados es necesario introducir </w:t>
      </w:r>
      <w:r w:rsidR="00046063">
        <w:rPr>
          <w:rFonts w:ascii="Palatino Linotype" w:eastAsia="MS Mincho" w:hAnsi="Palatino Linotype" w:cs="Times New Roman"/>
          <w:color w:val="000000"/>
          <w:sz w:val="24"/>
          <w:szCs w:val="24"/>
          <w:lang w:val="es-ES_tradnl" w:eastAsia="es-ES"/>
        </w:rPr>
        <w:t xml:space="preserve">cualquiera </w:t>
      </w:r>
      <w:r w:rsidRPr="000C2F9E">
        <w:rPr>
          <w:rFonts w:ascii="Palatino Linotype" w:eastAsia="MS Mincho" w:hAnsi="Palatino Linotype" w:cs="Times New Roman"/>
          <w:color w:val="000000"/>
          <w:sz w:val="24"/>
          <w:szCs w:val="24"/>
          <w:lang w:val="es-ES_tradnl" w:eastAsia="es-ES"/>
        </w:rPr>
        <w:t xml:space="preserve">de estos datos: </w:t>
      </w:r>
    </w:p>
    <w:p w:rsidR="009E0EEB" w:rsidRPr="009E0EEB" w:rsidRDefault="009E0EEB" w:rsidP="009E0EEB">
      <w:pPr>
        <w:rPr>
          <w:rFonts w:ascii="Palatino Linotype" w:eastAsia="MS Mincho" w:hAnsi="Palatino Linotype"/>
          <w:color w:val="000000"/>
          <w:lang w:val="es-ES_tradnl"/>
        </w:rPr>
      </w:pPr>
    </w:p>
    <w:p w:rsidR="009E0EEB" w:rsidRPr="000C2F9E" w:rsidRDefault="009E0EEB" w:rsidP="009E0EEB">
      <w:pPr>
        <w:spacing w:before="240" w:after="240" w:line="360" w:lineRule="auto"/>
        <w:ind w:left="426"/>
        <w:contextualSpacing/>
        <w:jc w:val="center"/>
        <w:rPr>
          <w:rFonts w:ascii="Palatino Linotype" w:eastAsia="MS Mincho" w:hAnsi="Palatino Linotype" w:cs="Times New Roman"/>
          <w:color w:val="000000"/>
          <w:sz w:val="24"/>
          <w:szCs w:val="24"/>
          <w:lang w:val="es-ES_tradnl" w:eastAsia="es-ES"/>
        </w:rPr>
      </w:pPr>
      <w:r>
        <w:rPr>
          <w:noProof/>
          <w:lang w:eastAsia="es-MX"/>
        </w:rPr>
        <w:drawing>
          <wp:inline distT="0" distB="0" distL="0" distR="0" wp14:anchorId="3C2339B3" wp14:editId="39B5E5F8">
            <wp:extent cx="3648075" cy="47331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874" t="6272" r="41364" b="18160"/>
                    <a:stretch/>
                  </pic:blipFill>
                  <pic:spPr bwMode="auto">
                    <a:xfrm>
                      <a:off x="0" y="0"/>
                      <a:ext cx="3651521" cy="4737614"/>
                    </a:xfrm>
                    <a:prstGeom prst="rect">
                      <a:avLst/>
                    </a:prstGeom>
                    <a:ln>
                      <a:noFill/>
                    </a:ln>
                    <a:extLst>
                      <a:ext uri="{53640926-AAD7-44D8-BBD7-CCE9431645EC}">
                        <a14:shadowObscured xmlns:a14="http://schemas.microsoft.com/office/drawing/2010/main"/>
                      </a:ext>
                    </a:extLst>
                  </pic:spPr>
                </pic:pic>
              </a:graphicData>
            </a:graphic>
          </wp:inline>
        </w:drawing>
      </w:r>
      <w:r>
        <w:rPr>
          <w:rStyle w:val="Refdenotaalpie"/>
          <w:rFonts w:ascii="Palatino Linotype" w:eastAsia="MS Mincho" w:hAnsi="Palatino Linotype" w:cs="Times New Roman"/>
          <w:color w:val="000000"/>
          <w:sz w:val="24"/>
          <w:szCs w:val="24"/>
          <w:lang w:val="es-ES_tradnl" w:eastAsia="es-ES"/>
        </w:rPr>
        <w:footnoteReference w:id="7"/>
      </w:r>
    </w:p>
    <w:p w:rsidR="000C2F9E" w:rsidRPr="000C2F9E" w:rsidRDefault="000C2F9E" w:rsidP="000C2F9E">
      <w:pPr>
        <w:spacing w:after="0" w:line="240" w:lineRule="auto"/>
        <w:jc w:val="center"/>
        <w:rPr>
          <w:rFonts w:ascii="Palatino Linotype" w:eastAsia="MS Mincho" w:hAnsi="Palatino Linotype" w:cs="Times New Roman"/>
          <w:color w:val="000000"/>
          <w:sz w:val="24"/>
          <w:szCs w:val="24"/>
          <w:lang w:val="es-ES_tradnl" w:eastAsia="es-ES"/>
        </w:rPr>
      </w:pPr>
    </w:p>
    <w:p w:rsidR="000C2F9E" w:rsidRDefault="000C2F9E" w:rsidP="000C2F9E">
      <w:pPr>
        <w:numPr>
          <w:ilvl w:val="0"/>
          <w:numId w:val="12"/>
        </w:num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r w:rsidRPr="000C2F9E">
        <w:rPr>
          <w:rFonts w:ascii="Palatino Linotype" w:eastAsia="MS Mincho" w:hAnsi="Palatino Linotype" w:cs="Times New Roman"/>
          <w:color w:val="000000"/>
          <w:sz w:val="24"/>
          <w:szCs w:val="24"/>
          <w:lang w:val="es-ES_tradnl" w:eastAsia="es-ES"/>
        </w:rPr>
        <w:lastRenderedPageBreak/>
        <w:t>Luego de ingresar el dato, el sistema otorgara resultados del automóvil en cuestión tocantes a los tópicos siguientes:</w:t>
      </w:r>
    </w:p>
    <w:p w:rsidR="009E0EEB" w:rsidRPr="000C2F9E" w:rsidRDefault="009E0EEB" w:rsidP="009E0EEB">
      <w:p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p>
    <w:p w:rsidR="000C2F9E" w:rsidRPr="000C2F9E" w:rsidRDefault="009E0EEB" w:rsidP="000C2F9E">
      <w:pPr>
        <w:spacing w:before="240" w:after="240" w:line="360" w:lineRule="auto"/>
        <w:ind w:left="426"/>
        <w:contextualSpacing/>
        <w:jc w:val="center"/>
        <w:rPr>
          <w:rFonts w:ascii="Palatino Linotype" w:eastAsia="MS Mincho" w:hAnsi="Palatino Linotype" w:cs="Times New Roman"/>
          <w:color w:val="000000"/>
          <w:sz w:val="24"/>
          <w:szCs w:val="24"/>
          <w:lang w:val="es-ES_tradnl" w:eastAsia="es-ES"/>
        </w:rPr>
      </w:pPr>
      <w:r>
        <w:rPr>
          <w:noProof/>
          <w:lang w:eastAsia="es-MX"/>
        </w:rPr>
        <w:drawing>
          <wp:inline distT="0" distB="0" distL="0" distR="0" wp14:anchorId="56F9B2C4" wp14:editId="0EFE3929">
            <wp:extent cx="2886075" cy="4906010"/>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05" t="17936" r="56770" b="10096"/>
                    <a:stretch/>
                  </pic:blipFill>
                  <pic:spPr bwMode="auto">
                    <a:xfrm>
                      <a:off x="0" y="0"/>
                      <a:ext cx="2901680" cy="4932537"/>
                    </a:xfrm>
                    <a:prstGeom prst="rect">
                      <a:avLst/>
                    </a:prstGeom>
                    <a:ln>
                      <a:noFill/>
                    </a:ln>
                    <a:extLst>
                      <a:ext uri="{53640926-AAD7-44D8-BBD7-CCE9431645EC}">
                        <a14:shadowObscured xmlns:a14="http://schemas.microsoft.com/office/drawing/2010/main"/>
                      </a:ext>
                    </a:extLst>
                  </pic:spPr>
                </pic:pic>
              </a:graphicData>
            </a:graphic>
          </wp:inline>
        </w:drawing>
      </w:r>
    </w:p>
    <w:p w:rsidR="000C2F9E" w:rsidRPr="000C2F9E" w:rsidRDefault="000C2F9E" w:rsidP="000C2F9E">
      <w:pPr>
        <w:spacing w:before="240" w:after="240" w:line="360" w:lineRule="auto"/>
        <w:ind w:left="426"/>
        <w:contextualSpacing/>
        <w:jc w:val="both"/>
        <w:rPr>
          <w:rFonts w:ascii="Palatino Linotype" w:eastAsia="MS Mincho" w:hAnsi="Palatino Linotype" w:cs="Times New Roman"/>
          <w:color w:val="000000"/>
          <w:sz w:val="24"/>
          <w:szCs w:val="24"/>
          <w:lang w:val="es-ES_tradnl" w:eastAsia="es-ES"/>
        </w:rPr>
      </w:pPr>
    </w:p>
    <w:p w:rsidR="0054457A" w:rsidRPr="0054457A" w:rsidRDefault="0054457A" w:rsidP="0054457A">
      <w:pPr>
        <w:numPr>
          <w:ilvl w:val="0"/>
          <w:numId w:val="12"/>
        </w:numPr>
        <w:spacing w:before="240" w:after="240" w:line="360" w:lineRule="auto"/>
        <w:ind w:left="426"/>
        <w:contextualSpacing/>
        <w:jc w:val="both"/>
        <w:rPr>
          <w:rFonts w:ascii="Palatino Linotype" w:hAnsi="Palatino Linotype" w:cs="Arial"/>
        </w:rPr>
      </w:pPr>
      <w:r>
        <w:rPr>
          <w:rFonts w:ascii="Palatino Linotype" w:eastAsia="MS Mincho" w:hAnsi="Palatino Linotype" w:cs="Times New Roman"/>
          <w:color w:val="000000"/>
          <w:sz w:val="24"/>
          <w:szCs w:val="24"/>
          <w:lang w:val="es-ES_tradnl" w:eastAsia="es-ES"/>
        </w:rPr>
        <w:lastRenderedPageBreak/>
        <w:t>D</w:t>
      </w:r>
      <w:r w:rsidR="000C2F9E" w:rsidRPr="000C2F9E">
        <w:rPr>
          <w:rFonts w:ascii="Palatino Linotype" w:eastAsia="MS Mincho" w:hAnsi="Palatino Linotype" w:cs="Times New Roman"/>
          <w:color w:val="000000"/>
          <w:sz w:val="24"/>
          <w:szCs w:val="24"/>
          <w:lang w:val="es-ES_tradnl" w:eastAsia="es-ES"/>
        </w:rPr>
        <w:t xml:space="preserve">e lo anterior se aprecia que </w:t>
      </w:r>
      <w:r>
        <w:rPr>
          <w:rFonts w:ascii="Palatino Linotype" w:eastAsia="MS Mincho" w:hAnsi="Palatino Linotype" w:cs="Times New Roman"/>
          <w:color w:val="000000"/>
          <w:sz w:val="24"/>
          <w:szCs w:val="24"/>
          <w:lang w:val="es-ES_tradnl" w:eastAsia="es-ES"/>
        </w:rPr>
        <w:t>esa</w:t>
      </w:r>
      <w:r w:rsidR="000C2F9E" w:rsidRPr="000C2F9E">
        <w:rPr>
          <w:rFonts w:ascii="Palatino Linotype" w:eastAsia="MS Mincho" w:hAnsi="Palatino Linotype" w:cs="Times New Roman"/>
          <w:color w:val="000000"/>
          <w:sz w:val="24"/>
          <w:szCs w:val="24"/>
          <w:lang w:val="es-ES_tradnl" w:eastAsia="es-ES"/>
        </w:rPr>
        <w:t xml:space="preserve"> base de datos de dominio público,</w:t>
      </w:r>
      <w:r>
        <w:rPr>
          <w:rFonts w:ascii="Palatino Linotype" w:eastAsia="MS Mincho" w:hAnsi="Palatino Linotype" w:cs="Times New Roman"/>
          <w:color w:val="000000"/>
          <w:sz w:val="24"/>
          <w:szCs w:val="24"/>
          <w:lang w:val="es-ES_tradnl" w:eastAsia="es-ES"/>
        </w:rPr>
        <w:t xml:space="preserve"> permite el acceso al Número de Identificación Vehicular</w:t>
      </w:r>
      <w:r w:rsidR="000C2F9E" w:rsidRPr="000C2F9E">
        <w:rPr>
          <w:rFonts w:ascii="Palatino Linotype" w:eastAsia="MS Mincho" w:hAnsi="Palatino Linotype" w:cs="Times New Roman"/>
          <w:color w:val="000000"/>
          <w:sz w:val="24"/>
          <w:szCs w:val="24"/>
          <w:lang w:val="es-ES_tradnl" w:eastAsia="es-ES"/>
        </w:rPr>
        <w:t xml:space="preserve"> </w:t>
      </w:r>
      <w:r>
        <w:rPr>
          <w:rFonts w:ascii="Palatino Linotype" w:eastAsia="MS Mincho" w:hAnsi="Palatino Linotype" w:cs="Times New Roman"/>
          <w:color w:val="000000"/>
          <w:sz w:val="24"/>
          <w:szCs w:val="24"/>
          <w:lang w:val="es-ES_tradnl" w:eastAsia="es-ES"/>
        </w:rPr>
        <w:t>l</w:t>
      </w:r>
      <w:r w:rsidR="000C2F9E" w:rsidRPr="000C2F9E">
        <w:rPr>
          <w:rFonts w:ascii="Palatino Linotype" w:eastAsia="MS Mincho" w:hAnsi="Palatino Linotype" w:cs="Times New Roman"/>
          <w:color w:val="000000"/>
          <w:sz w:val="24"/>
          <w:szCs w:val="24"/>
          <w:lang w:val="es-ES_tradnl" w:eastAsia="es-ES"/>
        </w:rPr>
        <w:t>uego entonces, se colige que cualquier persona que obtenga datos</w:t>
      </w:r>
      <w:r w:rsidR="009E0EEB">
        <w:rPr>
          <w:rFonts w:ascii="Palatino Linotype" w:eastAsia="MS Mincho" w:hAnsi="Palatino Linotype" w:cs="Times New Roman"/>
          <w:color w:val="000000"/>
          <w:sz w:val="24"/>
          <w:szCs w:val="24"/>
          <w:lang w:val="es-ES_tradnl" w:eastAsia="es-ES"/>
        </w:rPr>
        <w:t xml:space="preserve"> básicos</w:t>
      </w:r>
      <w:r w:rsidR="000C2F9E" w:rsidRPr="000C2F9E">
        <w:rPr>
          <w:rFonts w:ascii="Palatino Linotype" w:eastAsia="MS Mincho" w:hAnsi="Palatino Linotype" w:cs="Times New Roman"/>
          <w:color w:val="000000"/>
          <w:sz w:val="24"/>
          <w:szCs w:val="24"/>
          <w:lang w:val="es-ES_tradnl" w:eastAsia="es-ES"/>
        </w:rPr>
        <w:t xml:space="preserve"> de un vehículo como lo es el número de placa</w:t>
      </w:r>
      <w:r w:rsidR="00FF0651">
        <w:rPr>
          <w:rFonts w:ascii="Palatino Linotype" w:eastAsia="MS Mincho" w:hAnsi="Palatino Linotype" w:cs="Times New Roman"/>
          <w:color w:val="000000"/>
          <w:sz w:val="24"/>
          <w:szCs w:val="24"/>
          <w:lang w:val="es-ES_tradnl" w:eastAsia="es-ES"/>
        </w:rPr>
        <w:t xml:space="preserve"> puede acceder a la información del mismo sin necesidad </w:t>
      </w:r>
      <w:r w:rsidR="000C2F9E" w:rsidRPr="000C2F9E">
        <w:rPr>
          <w:rFonts w:ascii="Palatino Linotype" w:eastAsia="MS Mincho" w:hAnsi="Palatino Linotype" w:cs="Times New Roman"/>
          <w:color w:val="000000"/>
          <w:sz w:val="24"/>
          <w:szCs w:val="24"/>
          <w:lang w:val="es-ES_tradnl" w:eastAsia="es-ES"/>
        </w:rPr>
        <w:t xml:space="preserve"> </w:t>
      </w:r>
      <w:r w:rsidR="00FF0651">
        <w:rPr>
          <w:rFonts w:ascii="Palatino Linotype" w:eastAsia="MS Mincho" w:hAnsi="Palatino Linotype" w:cs="Times New Roman"/>
          <w:color w:val="000000"/>
          <w:sz w:val="24"/>
          <w:szCs w:val="24"/>
          <w:lang w:val="es-ES_tradnl" w:eastAsia="es-ES"/>
        </w:rPr>
        <w:t xml:space="preserve">del </w:t>
      </w:r>
      <w:r w:rsidR="000C2F9E" w:rsidRPr="000C2F9E">
        <w:rPr>
          <w:rFonts w:ascii="Palatino Linotype" w:eastAsia="MS Mincho" w:hAnsi="Palatino Linotype" w:cs="Times New Roman"/>
          <w:color w:val="000000"/>
          <w:sz w:val="24"/>
          <w:szCs w:val="24"/>
          <w:lang w:val="es-ES_tradnl" w:eastAsia="es-ES"/>
        </w:rPr>
        <w:t>Número de Identificación Vehicular (NIV), sea cual fuere el medio de obtención, como pudiera ser una fuente de acceso público,</w:t>
      </w:r>
      <w:r>
        <w:rPr>
          <w:rFonts w:ascii="Palatino Linotype" w:eastAsia="MS Mincho" w:hAnsi="Palatino Linotype" w:cs="Times New Roman"/>
          <w:color w:val="000000"/>
          <w:sz w:val="24"/>
          <w:szCs w:val="24"/>
          <w:lang w:val="es-ES_tradnl" w:eastAsia="es-ES"/>
        </w:rPr>
        <w:t xml:space="preserve"> la vía pública </w:t>
      </w:r>
      <w:r w:rsidR="00FF0651">
        <w:rPr>
          <w:rFonts w:ascii="Palatino Linotype" w:eastAsia="MS Mincho" w:hAnsi="Palatino Linotype" w:cs="Times New Roman"/>
          <w:color w:val="000000"/>
          <w:sz w:val="24"/>
          <w:szCs w:val="24"/>
          <w:lang w:val="es-ES_tradnl" w:eastAsia="es-ES"/>
        </w:rPr>
        <w:t xml:space="preserve">o </w:t>
      </w:r>
      <w:r>
        <w:rPr>
          <w:rFonts w:ascii="Palatino Linotype" w:eastAsia="MS Mincho" w:hAnsi="Palatino Linotype" w:cs="Times New Roman"/>
          <w:color w:val="000000"/>
          <w:sz w:val="24"/>
          <w:szCs w:val="24"/>
          <w:lang w:val="es-ES_tradnl" w:eastAsia="es-ES"/>
        </w:rPr>
        <w:t xml:space="preserve">el otorgamiento de un padrón. </w:t>
      </w:r>
    </w:p>
    <w:p w:rsidR="0054457A" w:rsidRDefault="0054457A" w:rsidP="0054457A">
      <w:pPr>
        <w:spacing w:before="240" w:after="240" w:line="360" w:lineRule="auto"/>
        <w:ind w:left="426"/>
        <w:contextualSpacing/>
        <w:jc w:val="both"/>
        <w:rPr>
          <w:rFonts w:ascii="Palatino Linotype" w:hAnsi="Palatino Linotype" w:cs="Arial"/>
        </w:rPr>
      </w:pPr>
    </w:p>
    <w:p w:rsidR="00AC1104" w:rsidRPr="00AC1104" w:rsidRDefault="00FF0651" w:rsidP="00AC1104">
      <w:pPr>
        <w:numPr>
          <w:ilvl w:val="0"/>
          <w:numId w:val="12"/>
        </w:numPr>
        <w:spacing w:before="240" w:after="240" w:line="360" w:lineRule="auto"/>
        <w:ind w:left="426"/>
        <w:contextualSpacing/>
        <w:jc w:val="both"/>
        <w:rPr>
          <w:rFonts w:ascii="Palatino Linotype" w:hAnsi="Palatino Linotype" w:cs="Arial"/>
          <w:sz w:val="24"/>
          <w:szCs w:val="24"/>
        </w:rPr>
      </w:pPr>
      <w:r w:rsidRPr="00FF0651">
        <w:rPr>
          <w:rFonts w:ascii="Palatino Linotype" w:hAnsi="Palatino Linotype" w:cs="Arial"/>
          <w:sz w:val="24"/>
          <w:szCs w:val="24"/>
        </w:rPr>
        <w:t xml:space="preserve">Bajo este orden de ideas,  no es dable clasificar como reservado el Número de Identificación Vehicular (NIV) de los vehículos propiedad del Sujeto Obligado, ya que se trata de información que transparenta la situación jurídica del bien mueble, adicional a lo anterior, si alguna persona tuviera la intención de acceder al NIV de vehículos públicos, con el fin de cometer algún hecho delictuoso como falsificar documentos o remarcar vehículos, la publicidad de esta información causaría el efecto contrario, pues el hecho de que se conozca el número de serie (NIV) de los autos propiedad de los Sujetos Obligados, permite su verificación en el REPUVE.    </w:t>
      </w:r>
    </w:p>
    <w:p w:rsidR="00756863" w:rsidRPr="00756863" w:rsidRDefault="00756863" w:rsidP="00756863">
      <w:pPr>
        <w:pStyle w:val="Ttulo1"/>
        <w:numPr>
          <w:ilvl w:val="0"/>
          <w:numId w:val="13"/>
        </w:numPr>
        <w:rPr>
          <w:rFonts w:ascii="Palatino Linotype" w:hAnsi="Palatino Linotype"/>
          <w:b/>
          <w:color w:val="auto"/>
          <w:sz w:val="24"/>
        </w:rPr>
      </w:pPr>
      <w:bookmarkStart w:id="4" w:name="_Toc527984226"/>
      <w:r w:rsidRPr="00756863">
        <w:rPr>
          <w:rFonts w:ascii="Palatino Linotype" w:hAnsi="Palatino Linotype"/>
          <w:b/>
          <w:color w:val="auto"/>
          <w:sz w:val="24"/>
        </w:rPr>
        <w:t>CONCLUSIÓN</w:t>
      </w:r>
      <w:bookmarkEnd w:id="4"/>
    </w:p>
    <w:p w:rsidR="00756863" w:rsidRPr="00756863" w:rsidRDefault="00756863" w:rsidP="00756863">
      <w:pPr>
        <w:pStyle w:val="Prrafodelista"/>
        <w:rPr>
          <w:rFonts w:ascii="Palatino Linotype" w:hAnsi="Palatino Linotype" w:cs="Arial"/>
        </w:rPr>
      </w:pPr>
    </w:p>
    <w:p w:rsidR="00B67AB6" w:rsidRPr="00FF0651" w:rsidRDefault="00756863" w:rsidP="00FF0651">
      <w:pPr>
        <w:pStyle w:val="Prrafodelista"/>
        <w:numPr>
          <w:ilvl w:val="0"/>
          <w:numId w:val="12"/>
        </w:numPr>
        <w:spacing w:line="360" w:lineRule="auto"/>
        <w:jc w:val="both"/>
        <w:rPr>
          <w:rFonts w:ascii="Palatino Linotype" w:hAnsi="Palatino Linotype"/>
          <w:b/>
        </w:rPr>
      </w:pPr>
      <w:r w:rsidRPr="00046063">
        <w:rPr>
          <w:rFonts w:ascii="Palatino Linotype" w:hAnsi="Palatino Linotype" w:cs="Arial"/>
        </w:rPr>
        <w:t xml:space="preserve">Por los argumentos plasmados en líneas anteriores se </w:t>
      </w:r>
      <w:r w:rsidR="00B67AB6" w:rsidRPr="00046063">
        <w:rPr>
          <w:rFonts w:ascii="Palatino Linotype" w:hAnsi="Palatino Linotype" w:cs="Arial"/>
        </w:rPr>
        <w:t>considera</w:t>
      </w:r>
      <w:r w:rsidRPr="00046063">
        <w:rPr>
          <w:rFonts w:ascii="Palatino Linotype" w:hAnsi="Palatino Linotype" w:cs="Arial"/>
        </w:rPr>
        <w:t xml:space="preserve"> que e</w:t>
      </w:r>
      <w:r w:rsidR="00EE6E10" w:rsidRPr="00046063">
        <w:rPr>
          <w:rFonts w:ascii="Palatino Linotype" w:hAnsi="Palatino Linotype" w:cs="Arial"/>
        </w:rPr>
        <w:t xml:space="preserve">l Sujeto Obligado a través de informe justificado pretendió subsanar la afectación al </w:t>
      </w:r>
      <w:r w:rsidR="00EE6E10" w:rsidRPr="00046063">
        <w:rPr>
          <w:rFonts w:ascii="Palatino Linotype" w:hAnsi="Palatino Linotype" w:cs="Arial"/>
        </w:rPr>
        <w:lastRenderedPageBreak/>
        <w:t xml:space="preserve">derecho de acceso a la información del particular por lo que la información otorgada debió ser puesta a disposición del particular. </w:t>
      </w:r>
    </w:p>
    <w:p w:rsidR="00FF0651" w:rsidRPr="00046063" w:rsidRDefault="00FF0651" w:rsidP="00FF0651">
      <w:pPr>
        <w:pStyle w:val="Prrafodelista"/>
        <w:spacing w:line="360" w:lineRule="auto"/>
        <w:ind w:left="360"/>
        <w:jc w:val="both"/>
        <w:rPr>
          <w:rFonts w:ascii="Palatino Linotype" w:hAnsi="Palatino Linotype"/>
          <w:b/>
        </w:rPr>
      </w:pPr>
    </w:p>
    <w:tbl>
      <w:tblPr>
        <w:tblStyle w:val="Tablaconcuadrcula"/>
        <w:tblW w:w="0" w:type="auto"/>
        <w:tblInd w:w="-320" w:type="dxa"/>
        <w:tblLook w:val="04A0" w:firstRow="1" w:lastRow="0" w:firstColumn="1" w:lastColumn="0" w:noHBand="0" w:noVBand="1"/>
      </w:tblPr>
      <w:tblGrid>
        <w:gridCol w:w="4459"/>
        <w:gridCol w:w="4459"/>
      </w:tblGrid>
      <w:tr w:rsidR="00AC1104" w:rsidRPr="00AC1104" w:rsidTr="00482898">
        <w:tc>
          <w:tcPr>
            <w:tcW w:w="4459" w:type="dxa"/>
            <w:tcBorders>
              <w:top w:val="nil"/>
              <w:left w:val="nil"/>
              <w:bottom w:val="nil"/>
              <w:right w:val="nil"/>
            </w:tcBorders>
            <w:shd w:val="clear" w:color="auto" w:fill="auto"/>
          </w:tcPr>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r w:rsidRPr="00AC1104">
              <w:rPr>
                <w:rFonts w:ascii="Palatino Linotype" w:hAnsi="Palatino Linotype"/>
                <w:b/>
                <w:sz w:val="20"/>
              </w:rPr>
              <w:t>EVA ABAID YAPUR</w:t>
            </w:r>
          </w:p>
          <w:p w:rsidR="00AC1104" w:rsidRPr="00AC1104" w:rsidRDefault="00AC1104" w:rsidP="00AC1104">
            <w:pPr>
              <w:spacing w:line="360" w:lineRule="auto"/>
              <w:jc w:val="center"/>
              <w:rPr>
                <w:rFonts w:ascii="Palatino Linotype" w:hAnsi="Palatino Linotype"/>
                <w:b/>
                <w:sz w:val="20"/>
              </w:rPr>
            </w:pPr>
            <w:r w:rsidRPr="00AC1104">
              <w:rPr>
                <w:rFonts w:ascii="Palatino Linotype" w:hAnsi="Palatino Linotype"/>
                <w:b/>
                <w:sz w:val="20"/>
              </w:rPr>
              <w:t>COMISIONADA</w:t>
            </w:r>
          </w:p>
          <w:p w:rsidR="00AC1104" w:rsidRPr="00AC1104" w:rsidRDefault="00AC1104" w:rsidP="00482898">
            <w:pPr>
              <w:spacing w:line="360" w:lineRule="auto"/>
              <w:jc w:val="center"/>
              <w:rPr>
                <w:rFonts w:ascii="Palatino Linotype" w:hAnsi="Palatino Linotype"/>
                <w:b/>
                <w:sz w:val="20"/>
              </w:rPr>
            </w:pPr>
          </w:p>
        </w:tc>
        <w:tc>
          <w:tcPr>
            <w:tcW w:w="4459" w:type="dxa"/>
            <w:tcBorders>
              <w:top w:val="nil"/>
              <w:left w:val="nil"/>
              <w:bottom w:val="nil"/>
              <w:right w:val="nil"/>
            </w:tcBorders>
            <w:shd w:val="clear" w:color="auto" w:fill="auto"/>
          </w:tcPr>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r w:rsidRPr="00AC1104">
              <w:rPr>
                <w:rFonts w:ascii="Palatino Linotype" w:hAnsi="Palatino Linotype"/>
                <w:b/>
                <w:sz w:val="20"/>
              </w:rPr>
              <w:t>JOSÉ GUADALUPE LUNA HERNÁNDEZ</w:t>
            </w:r>
          </w:p>
          <w:p w:rsidR="00AC1104" w:rsidRPr="00AC1104" w:rsidRDefault="00AC1104" w:rsidP="00AC1104">
            <w:pPr>
              <w:spacing w:line="360" w:lineRule="auto"/>
              <w:jc w:val="center"/>
              <w:rPr>
                <w:rFonts w:ascii="Palatino Linotype" w:hAnsi="Palatino Linotype"/>
                <w:b/>
                <w:sz w:val="20"/>
              </w:rPr>
            </w:pPr>
            <w:r w:rsidRPr="00AC1104">
              <w:rPr>
                <w:rFonts w:ascii="Palatino Linotype" w:hAnsi="Palatino Linotype"/>
                <w:b/>
                <w:sz w:val="20"/>
              </w:rPr>
              <w:t>COMISIONADO</w:t>
            </w: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tc>
      </w:tr>
      <w:tr w:rsidR="00AC1104" w:rsidRPr="00AC1104" w:rsidTr="00482898">
        <w:tc>
          <w:tcPr>
            <w:tcW w:w="8918" w:type="dxa"/>
            <w:gridSpan w:val="2"/>
            <w:tcBorders>
              <w:top w:val="nil"/>
              <w:left w:val="nil"/>
              <w:bottom w:val="nil"/>
              <w:right w:val="nil"/>
            </w:tcBorders>
          </w:tcPr>
          <w:p w:rsidR="00AC1104" w:rsidRDefault="00AC1104" w:rsidP="00AC1104">
            <w:pPr>
              <w:spacing w:line="360" w:lineRule="auto"/>
              <w:jc w:val="center"/>
              <w:rPr>
                <w:rFonts w:ascii="Palatino Linotype" w:hAnsi="Palatino Linotype"/>
                <w:b/>
                <w:sz w:val="20"/>
              </w:rPr>
            </w:pPr>
          </w:p>
          <w:p w:rsidR="00AC1104" w:rsidRDefault="00AC1104" w:rsidP="00AC1104">
            <w:pPr>
              <w:spacing w:line="360" w:lineRule="auto"/>
              <w:jc w:val="center"/>
              <w:rPr>
                <w:rFonts w:ascii="Palatino Linotype" w:hAnsi="Palatino Linotype"/>
                <w:b/>
                <w:sz w:val="20"/>
              </w:rPr>
            </w:pPr>
          </w:p>
          <w:p w:rsidR="00AC1104" w:rsidRDefault="00AC1104" w:rsidP="00AC1104">
            <w:pPr>
              <w:spacing w:line="360" w:lineRule="auto"/>
              <w:jc w:val="center"/>
              <w:rPr>
                <w:rFonts w:ascii="Palatino Linotype" w:hAnsi="Palatino Linotype"/>
                <w:b/>
                <w:sz w:val="20"/>
              </w:rPr>
            </w:pPr>
          </w:p>
          <w:p w:rsidR="00AC1104" w:rsidRDefault="00AC1104" w:rsidP="00AC1104">
            <w:pPr>
              <w:spacing w:line="360" w:lineRule="auto"/>
              <w:jc w:val="center"/>
              <w:rPr>
                <w:rFonts w:ascii="Palatino Linotype" w:hAnsi="Palatino Linotype"/>
                <w:b/>
                <w:sz w:val="20"/>
              </w:rPr>
            </w:pPr>
          </w:p>
          <w:p w:rsid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r w:rsidRPr="00AC1104">
              <w:rPr>
                <w:rFonts w:ascii="Palatino Linotype" w:hAnsi="Palatino Linotype"/>
                <w:b/>
                <w:sz w:val="20"/>
              </w:rPr>
              <w:t>LUIS GUSTAVO PARRA NORIEGA</w:t>
            </w:r>
          </w:p>
          <w:p w:rsidR="00AC1104" w:rsidRPr="00AC1104" w:rsidRDefault="00AC1104" w:rsidP="00AC1104">
            <w:pPr>
              <w:spacing w:line="360" w:lineRule="auto"/>
              <w:jc w:val="center"/>
              <w:rPr>
                <w:rFonts w:ascii="Palatino Linotype" w:hAnsi="Palatino Linotype"/>
                <w:b/>
                <w:sz w:val="20"/>
              </w:rPr>
            </w:pPr>
            <w:r w:rsidRPr="00AC1104">
              <w:rPr>
                <w:rFonts w:ascii="Palatino Linotype" w:hAnsi="Palatino Linotype"/>
                <w:b/>
                <w:sz w:val="20"/>
              </w:rPr>
              <w:t>COMISIONADO</w:t>
            </w:r>
          </w:p>
          <w:p w:rsidR="00AC1104" w:rsidRPr="00AC1104" w:rsidRDefault="00AC1104" w:rsidP="00AC1104">
            <w:pPr>
              <w:spacing w:line="360" w:lineRule="auto"/>
              <w:jc w:val="center"/>
              <w:rPr>
                <w:rFonts w:ascii="Palatino Linotype" w:hAnsi="Palatino Linotype"/>
                <w:b/>
                <w:sz w:val="20"/>
              </w:rPr>
            </w:pPr>
          </w:p>
          <w:p w:rsidR="00AC1104" w:rsidRPr="00AC1104" w:rsidRDefault="00AC1104" w:rsidP="00AC1104">
            <w:pPr>
              <w:spacing w:line="360" w:lineRule="auto"/>
              <w:jc w:val="center"/>
              <w:rPr>
                <w:rFonts w:ascii="Palatino Linotype" w:hAnsi="Palatino Linotype"/>
                <w:b/>
                <w:sz w:val="20"/>
              </w:rPr>
            </w:pPr>
          </w:p>
        </w:tc>
      </w:tr>
    </w:tbl>
    <w:p w:rsidR="00046063" w:rsidRDefault="00046063" w:rsidP="00046063">
      <w:pPr>
        <w:spacing w:line="360" w:lineRule="auto"/>
        <w:jc w:val="both"/>
        <w:rPr>
          <w:rFonts w:ascii="Palatino Linotype" w:hAnsi="Palatino Linotype"/>
          <w:b/>
        </w:rPr>
      </w:pPr>
    </w:p>
    <w:p w:rsidR="00AC1104" w:rsidRDefault="00AC1104" w:rsidP="00046063">
      <w:pPr>
        <w:spacing w:line="360" w:lineRule="auto"/>
        <w:jc w:val="both"/>
        <w:rPr>
          <w:rFonts w:ascii="Palatino Linotype" w:hAnsi="Palatino Linotype"/>
          <w:b/>
        </w:rPr>
      </w:pPr>
    </w:p>
    <w:p w:rsidR="00EE6E10" w:rsidRDefault="00482898" w:rsidP="00AC1104">
      <w:pPr>
        <w:rPr>
          <w:rFonts w:ascii="Palatino Linotype" w:hAnsi="Palatino Linotype"/>
          <w:b/>
          <w:sz w:val="24"/>
          <w:szCs w:val="24"/>
        </w:rPr>
      </w:pPr>
      <w:r>
        <w:rPr>
          <w:rFonts w:ascii="Palatino Linotype" w:hAnsi="Palatino Linotype"/>
          <w:b/>
          <w:sz w:val="24"/>
          <w:szCs w:val="24"/>
        </w:rPr>
        <w:t>JGLH/MPB</w:t>
      </w:r>
    </w:p>
    <w:sectPr w:rsidR="00EE6E10" w:rsidSect="00B67AB6">
      <w:headerReference w:type="even" r:id="rId11"/>
      <w:headerReference w:type="default" r:id="rId12"/>
      <w:footerReference w:type="default" r:id="rId13"/>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C57" w:rsidRDefault="009A1C57" w:rsidP="00907451">
      <w:pPr>
        <w:spacing w:after="0" w:line="240" w:lineRule="auto"/>
      </w:pPr>
      <w:r>
        <w:separator/>
      </w:r>
    </w:p>
  </w:endnote>
  <w:endnote w:type="continuationSeparator" w:id="0">
    <w:p w:rsidR="009A1C57" w:rsidRDefault="009A1C5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3C12">
      <w:rPr>
        <w:rFonts w:ascii="Arial" w:hAnsi="Arial" w:cs="Arial"/>
        <w:b/>
        <w:bCs/>
        <w:noProof/>
        <w:sz w:val="20"/>
        <w:szCs w:val="20"/>
      </w:rPr>
      <w:t>12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3C12">
      <w:rPr>
        <w:rFonts w:ascii="Arial" w:hAnsi="Arial" w:cs="Arial"/>
        <w:b/>
        <w:bCs/>
        <w:noProof/>
        <w:sz w:val="20"/>
        <w:szCs w:val="20"/>
      </w:rPr>
      <w:t>12</w:t>
    </w:r>
    <w:r w:rsidRPr="00986599">
      <w:rPr>
        <w:rFonts w:ascii="Arial" w:hAnsi="Arial" w:cs="Arial"/>
        <w:b/>
        <w:bCs/>
        <w:sz w:val="20"/>
        <w:szCs w:val="20"/>
      </w:rPr>
      <w:fldChar w:fldCharType="end"/>
    </w:r>
  </w:p>
  <w:p w:rsidR="00D758BE" w:rsidRDefault="008B3C1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C57" w:rsidRDefault="009A1C57" w:rsidP="00907451">
      <w:pPr>
        <w:spacing w:after="0" w:line="240" w:lineRule="auto"/>
      </w:pPr>
      <w:r>
        <w:separator/>
      </w:r>
    </w:p>
  </w:footnote>
  <w:footnote w:type="continuationSeparator" w:id="0">
    <w:p w:rsidR="009A1C57" w:rsidRDefault="009A1C57" w:rsidP="00907451">
      <w:pPr>
        <w:spacing w:after="0" w:line="240" w:lineRule="auto"/>
      </w:pPr>
      <w:r>
        <w:continuationSeparator/>
      </w:r>
    </w:p>
  </w:footnote>
  <w:footnote w:id="1">
    <w:p w:rsidR="000C2F9E" w:rsidRDefault="000C2F9E" w:rsidP="000C2F9E">
      <w:pPr>
        <w:pStyle w:val="Textonotapie"/>
      </w:pPr>
      <w:r>
        <w:rPr>
          <w:rStyle w:val="Refdenotaalpie"/>
        </w:rPr>
        <w:footnoteRef/>
      </w:r>
      <w:r>
        <w:t xml:space="preserve"> Convención Americana sobre Derechos Humanos. Artículo 13.</w:t>
      </w:r>
    </w:p>
  </w:footnote>
  <w:footnote w:id="2">
    <w:p w:rsidR="000C2F9E" w:rsidRDefault="000C2F9E" w:rsidP="000C2F9E">
      <w:pPr>
        <w:pStyle w:val="Textonotapie"/>
      </w:pPr>
      <w:r>
        <w:rPr>
          <w:rStyle w:val="Refdenotaalpie"/>
        </w:rPr>
        <w:footnoteRef/>
      </w:r>
      <w:r>
        <w:t xml:space="preserve"> Constitución Política de los Estados Unidos Mexicanos. Artículo sexto, sección A, Fracción I.</w:t>
      </w:r>
    </w:p>
  </w:footnote>
  <w:footnote w:id="3">
    <w:p w:rsidR="000C2F9E" w:rsidRDefault="000C2F9E" w:rsidP="000C2F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C2F9E" w:rsidRDefault="000C2F9E" w:rsidP="000C2F9E">
      <w:pPr>
        <w:pStyle w:val="Textonotapie"/>
      </w:pPr>
      <w:r>
        <w:rPr>
          <w:rStyle w:val="Refdenotaalpie"/>
        </w:rPr>
        <w:footnoteRef/>
      </w:r>
      <w:r>
        <w:t xml:space="preserve"> Ibídem. Párr. 87.</w:t>
      </w:r>
    </w:p>
  </w:footnote>
  <w:footnote w:id="5">
    <w:p w:rsidR="000C2F9E" w:rsidRDefault="000C2F9E" w:rsidP="000C2F9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67486B" w:rsidRDefault="0067486B">
      <w:pPr>
        <w:pStyle w:val="Textonotapie"/>
      </w:pPr>
      <w:r>
        <w:rPr>
          <w:rStyle w:val="Refdenotaalpie"/>
        </w:rPr>
        <w:footnoteRef/>
      </w:r>
      <w:r>
        <w:t xml:space="preserve"> </w:t>
      </w:r>
      <w:hyperlink r:id="rId2" w:history="1">
        <w:r w:rsidRPr="0067486B">
          <w:rPr>
            <w:rStyle w:val="Hipervnculo"/>
            <w:lang w:val="es-ES_tradnl"/>
          </w:rPr>
          <w:t>https://www.repuve-consulta.com.mx/consulta-ciudadana</w:t>
        </w:r>
      </w:hyperlink>
    </w:p>
  </w:footnote>
  <w:footnote w:id="7">
    <w:p w:rsidR="009E0EEB" w:rsidRDefault="009E0EEB">
      <w:pPr>
        <w:pStyle w:val="Textonotapie"/>
      </w:pPr>
      <w:r>
        <w:rPr>
          <w:rStyle w:val="Refdenotaalpie"/>
        </w:rPr>
        <w:footnoteRef/>
      </w:r>
      <w:r>
        <w:t xml:space="preserve"> </w:t>
      </w:r>
      <w:r w:rsidRPr="009E0EEB">
        <w:t>http://www2.repuve.gob.mx:8080/ciudadania/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7216"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8B3C12" w:rsidP="007263BB">
    <w:pPr>
      <w:pStyle w:val="Encabezado"/>
      <w:jc w:val="right"/>
      <w:rPr>
        <w:rFonts w:ascii="Arial" w:hAnsi="Arial" w:cs="Arial"/>
        <w:sz w:val="20"/>
        <w:szCs w:val="20"/>
      </w:rPr>
    </w:pPr>
    <w:sdt>
      <w:sdtPr>
        <w:rPr>
          <w:rFonts w:ascii="Arial" w:hAnsi="Arial" w:cs="Arial"/>
          <w:sz w:val="20"/>
          <w:szCs w:val="20"/>
        </w:rPr>
        <w:id w:val="-51546583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0783" o:spid="_x0000_s2053" type="#_x0000_t136" style="position:absolute;left:0;text-align:left;margin-left:0;margin-top:0;width:591.2pt;height:38.1pt;rotation:315;z-index:-251658240;mso-position-horizontal:center;mso-position-horizontal-relative:margin;mso-position-vertical:center;mso-position-vertical-relative:margin" o:allowincell="f" fillcolor="silver" stroked="f">
              <v:fill opacity=".5"/>
              <v:textpath style="font-family:&quot;Arial&quot;;font-size:1pt" string="VOTO PARTICULAR CONCURRENTE "/>
              <w10:wrap anchorx="margin" anchory="margin"/>
            </v:shape>
          </w:pict>
        </w:r>
      </w:sdtContent>
    </w:sdt>
  </w:p>
  <w:p w:rsidR="00D758BE" w:rsidRDefault="008B3C12" w:rsidP="007263BB">
    <w:pPr>
      <w:pStyle w:val="Encabezado"/>
      <w:jc w:val="right"/>
      <w:rPr>
        <w:rFonts w:ascii="Arial" w:hAnsi="Arial" w:cs="Arial"/>
        <w:sz w:val="20"/>
        <w:szCs w:val="20"/>
      </w:rPr>
    </w:pPr>
  </w:p>
  <w:p w:rsidR="00D758BE" w:rsidRDefault="008B3C12"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95AD4">
      <w:rPr>
        <w:rFonts w:ascii="Palatino Linotype" w:hAnsi="Palatino Linotype" w:cs="Arial"/>
        <w:b/>
        <w:sz w:val="20"/>
        <w:szCs w:val="20"/>
      </w:rPr>
      <w:t>03374</w:t>
    </w:r>
    <w:r w:rsidR="00897E24" w:rsidRPr="00897E24">
      <w:rPr>
        <w:rFonts w:ascii="Palatino Linotype" w:hAnsi="Palatino Linotype" w:cs="Arial"/>
        <w:b/>
        <w:sz w:val="20"/>
        <w:szCs w:val="20"/>
      </w:rPr>
      <w:t>/INFOEM/IP/RR/201</w:t>
    </w:r>
    <w:r w:rsidR="004A7809">
      <w:rPr>
        <w:rFonts w:ascii="Palatino Linotype" w:hAnsi="Palatino Linotype" w:cs="Arial"/>
        <w:b/>
        <w:sz w:val="20"/>
        <w:szCs w:val="20"/>
      </w:rPr>
      <w:t>8</w:t>
    </w:r>
  </w:p>
  <w:p w:rsidR="00D758BE" w:rsidRDefault="008B3C12" w:rsidP="007263BB">
    <w:pPr>
      <w:pStyle w:val="Encabezado"/>
      <w:jc w:val="right"/>
      <w:rPr>
        <w:rFonts w:ascii="Palatino Linotype" w:hAnsi="Palatino Linotype" w:cs="Arial"/>
        <w:sz w:val="20"/>
        <w:szCs w:val="20"/>
      </w:rPr>
    </w:pPr>
  </w:p>
  <w:p w:rsidR="00233AB2" w:rsidRDefault="008B3C1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3E98"/>
    <w:multiLevelType w:val="hybridMultilevel"/>
    <w:tmpl w:val="091830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800145"/>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9"/>
  </w:num>
  <w:num w:numId="6">
    <w:abstractNumId w:val="10"/>
  </w:num>
  <w:num w:numId="7">
    <w:abstractNumId w:val="12"/>
  </w:num>
  <w:num w:numId="8">
    <w:abstractNumId w:val="14"/>
  </w:num>
  <w:num w:numId="9">
    <w:abstractNumId w:val="5"/>
  </w:num>
  <w:num w:numId="10">
    <w:abstractNumId w:val="4"/>
  </w:num>
  <w:num w:numId="11">
    <w:abstractNumId w:val="13"/>
  </w:num>
  <w:num w:numId="12">
    <w:abstractNumId w:val="11"/>
  </w:num>
  <w:num w:numId="13">
    <w:abstractNumId w:val="7"/>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78A0"/>
    <w:rsid w:val="0004196F"/>
    <w:rsid w:val="00046063"/>
    <w:rsid w:val="00057319"/>
    <w:rsid w:val="000607BA"/>
    <w:rsid w:val="00087C03"/>
    <w:rsid w:val="000906EA"/>
    <w:rsid w:val="000B37CE"/>
    <w:rsid w:val="000C2F9E"/>
    <w:rsid w:val="000C74C1"/>
    <w:rsid w:val="000E522E"/>
    <w:rsid w:val="000F1397"/>
    <w:rsid w:val="00155046"/>
    <w:rsid w:val="00156565"/>
    <w:rsid w:val="001634D5"/>
    <w:rsid w:val="001822F4"/>
    <w:rsid w:val="00191B9D"/>
    <w:rsid w:val="00195AD4"/>
    <w:rsid w:val="001B2455"/>
    <w:rsid w:val="001C19F3"/>
    <w:rsid w:val="001C55E5"/>
    <w:rsid w:val="001C5D46"/>
    <w:rsid w:val="001D6690"/>
    <w:rsid w:val="001E5120"/>
    <w:rsid w:val="00245DCD"/>
    <w:rsid w:val="002501C9"/>
    <w:rsid w:val="00264111"/>
    <w:rsid w:val="00265A6C"/>
    <w:rsid w:val="00274E34"/>
    <w:rsid w:val="0029100F"/>
    <w:rsid w:val="00292D40"/>
    <w:rsid w:val="002A5ADD"/>
    <w:rsid w:val="002A6359"/>
    <w:rsid w:val="002B4C96"/>
    <w:rsid w:val="003673FE"/>
    <w:rsid w:val="00394DF1"/>
    <w:rsid w:val="003B4966"/>
    <w:rsid w:val="003D2E2E"/>
    <w:rsid w:val="003F066F"/>
    <w:rsid w:val="00444B7E"/>
    <w:rsid w:val="0044634E"/>
    <w:rsid w:val="00451E96"/>
    <w:rsid w:val="00456467"/>
    <w:rsid w:val="00475CF8"/>
    <w:rsid w:val="00482898"/>
    <w:rsid w:val="004A077C"/>
    <w:rsid w:val="004A29DA"/>
    <w:rsid w:val="004A7809"/>
    <w:rsid w:val="004E0092"/>
    <w:rsid w:val="00505F5A"/>
    <w:rsid w:val="00506B74"/>
    <w:rsid w:val="005220CF"/>
    <w:rsid w:val="00532CDB"/>
    <w:rsid w:val="0054457A"/>
    <w:rsid w:val="005549ED"/>
    <w:rsid w:val="00571172"/>
    <w:rsid w:val="005777C1"/>
    <w:rsid w:val="005A6F4A"/>
    <w:rsid w:val="005C7341"/>
    <w:rsid w:val="005F4C0C"/>
    <w:rsid w:val="006214D7"/>
    <w:rsid w:val="00661FF4"/>
    <w:rsid w:val="0067486B"/>
    <w:rsid w:val="00677550"/>
    <w:rsid w:val="006A3A73"/>
    <w:rsid w:val="006C34A1"/>
    <w:rsid w:val="006C470E"/>
    <w:rsid w:val="006E048C"/>
    <w:rsid w:val="006F1FB8"/>
    <w:rsid w:val="006F346D"/>
    <w:rsid w:val="00707CE9"/>
    <w:rsid w:val="007207C3"/>
    <w:rsid w:val="0073232E"/>
    <w:rsid w:val="00743E71"/>
    <w:rsid w:val="00756863"/>
    <w:rsid w:val="007A2695"/>
    <w:rsid w:val="007A42B3"/>
    <w:rsid w:val="007A453F"/>
    <w:rsid w:val="007B6EE5"/>
    <w:rsid w:val="007E17C7"/>
    <w:rsid w:val="007E41C2"/>
    <w:rsid w:val="007F7EDB"/>
    <w:rsid w:val="0083188B"/>
    <w:rsid w:val="00842B5C"/>
    <w:rsid w:val="00842C57"/>
    <w:rsid w:val="00853B1A"/>
    <w:rsid w:val="0087478C"/>
    <w:rsid w:val="00892DF4"/>
    <w:rsid w:val="00897E24"/>
    <w:rsid w:val="008A4206"/>
    <w:rsid w:val="008A56D2"/>
    <w:rsid w:val="008B3C12"/>
    <w:rsid w:val="008C3587"/>
    <w:rsid w:val="008E289A"/>
    <w:rsid w:val="009049ED"/>
    <w:rsid w:val="00907451"/>
    <w:rsid w:val="00936FC7"/>
    <w:rsid w:val="00954322"/>
    <w:rsid w:val="00956FEF"/>
    <w:rsid w:val="009611D3"/>
    <w:rsid w:val="009725E9"/>
    <w:rsid w:val="00980508"/>
    <w:rsid w:val="009A1C57"/>
    <w:rsid w:val="009C140C"/>
    <w:rsid w:val="009E0EEB"/>
    <w:rsid w:val="00A01E1E"/>
    <w:rsid w:val="00A0672E"/>
    <w:rsid w:val="00A14D6F"/>
    <w:rsid w:val="00A21005"/>
    <w:rsid w:val="00A23EEF"/>
    <w:rsid w:val="00A416B4"/>
    <w:rsid w:val="00A57CEB"/>
    <w:rsid w:val="00A62E74"/>
    <w:rsid w:val="00A6495C"/>
    <w:rsid w:val="00AA7B9B"/>
    <w:rsid w:val="00AB3EF2"/>
    <w:rsid w:val="00AC1104"/>
    <w:rsid w:val="00AD2CAF"/>
    <w:rsid w:val="00AF50EB"/>
    <w:rsid w:val="00B02DEB"/>
    <w:rsid w:val="00B300D4"/>
    <w:rsid w:val="00B438A9"/>
    <w:rsid w:val="00B547F4"/>
    <w:rsid w:val="00B64C32"/>
    <w:rsid w:val="00B64DA8"/>
    <w:rsid w:val="00B67AB6"/>
    <w:rsid w:val="00B67B3B"/>
    <w:rsid w:val="00B73E87"/>
    <w:rsid w:val="00B8624B"/>
    <w:rsid w:val="00B86427"/>
    <w:rsid w:val="00B95ED4"/>
    <w:rsid w:val="00BD2BE3"/>
    <w:rsid w:val="00BE1031"/>
    <w:rsid w:val="00BE252D"/>
    <w:rsid w:val="00BF55CE"/>
    <w:rsid w:val="00C02ADD"/>
    <w:rsid w:val="00C21B5F"/>
    <w:rsid w:val="00C279CF"/>
    <w:rsid w:val="00C44E15"/>
    <w:rsid w:val="00C62646"/>
    <w:rsid w:val="00C9164A"/>
    <w:rsid w:val="00D32E4F"/>
    <w:rsid w:val="00D53061"/>
    <w:rsid w:val="00DA32D9"/>
    <w:rsid w:val="00DB1FC3"/>
    <w:rsid w:val="00DC752B"/>
    <w:rsid w:val="00DF3F1F"/>
    <w:rsid w:val="00DF48F7"/>
    <w:rsid w:val="00DF6001"/>
    <w:rsid w:val="00E11030"/>
    <w:rsid w:val="00E20299"/>
    <w:rsid w:val="00E25434"/>
    <w:rsid w:val="00E30FFD"/>
    <w:rsid w:val="00E81E12"/>
    <w:rsid w:val="00E920D4"/>
    <w:rsid w:val="00E93F84"/>
    <w:rsid w:val="00EA17C1"/>
    <w:rsid w:val="00EB3A07"/>
    <w:rsid w:val="00EB52F8"/>
    <w:rsid w:val="00EC2774"/>
    <w:rsid w:val="00ED5E1B"/>
    <w:rsid w:val="00EE6E10"/>
    <w:rsid w:val="00EF4784"/>
    <w:rsid w:val="00F1541F"/>
    <w:rsid w:val="00F156BE"/>
    <w:rsid w:val="00F24291"/>
    <w:rsid w:val="00F360E0"/>
    <w:rsid w:val="00F464E1"/>
    <w:rsid w:val="00F466F2"/>
    <w:rsid w:val="00F72582"/>
    <w:rsid w:val="00F76B05"/>
    <w:rsid w:val="00FB3172"/>
    <w:rsid w:val="00FB3310"/>
    <w:rsid w:val="00FD3336"/>
    <w:rsid w:val="00FF0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EA17C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EA17C1"/>
    <w:rPr>
      <w:rFonts w:asciiTheme="majorHAnsi" w:eastAsiaTheme="majorEastAsia" w:hAnsiTheme="majorHAnsi" w:cstheme="majorBidi"/>
      <w:color w:val="2E74B5" w:themeColor="accent1" w:themeShade="BF"/>
      <w:sz w:val="32"/>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 w:type="table" w:styleId="Tablaconcuadrcula">
    <w:name w:val="Table Grid"/>
    <w:basedOn w:val="Tablanormal"/>
    <w:uiPriority w:val="39"/>
    <w:rsid w:val="00AC1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puve-consulta.com.mx/consulta-ciudadana"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B34AD27-2EB7-45A8-AF23-E3E81FC7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1758</Words>
  <Characters>9669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2018-11-22T01:28:00Z</cp:lastPrinted>
  <dcterms:created xsi:type="dcterms:W3CDTF">2018-11-22T01:29:00Z</dcterms:created>
  <dcterms:modified xsi:type="dcterms:W3CDTF">2018-12-17T16:28:00Z</dcterms:modified>
</cp:coreProperties>
</file>